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4113" w14:textId="1A1737BA" w:rsidR="00B95F1F" w:rsidRDefault="00B95F1F" w:rsidP="00B95F1F">
      <w:pPr>
        <w:pStyle w:val="Standard"/>
        <w:spacing w:line="320" w:lineRule="atLeast"/>
        <w:jc w:val="right"/>
      </w:pPr>
      <w:bookmarkStart w:id="0" w:name="_Hlk74056991"/>
      <w:bookmarkEnd w:id="0"/>
      <w:r>
        <w:rPr>
          <w:rFonts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B922272" wp14:editId="304056AB">
            <wp:simplePos x="0" y="0"/>
            <wp:positionH relativeFrom="margin">
              <wp:posOffset>-7620</wp:posOffset>
            </wp:positionH>
            <wp:positionV relativeFrom="margin">
              <wp:posOffset>3810</wp:posOffset>
            </wp:positionV>
            <wp:extent cx="1360170" cy="601980"/>
            <wp:effectExtent l="1905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601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</w:rPr>
        <w:t xml:space="preserve">VYJÁDŘENÍ PRO MÉDIA </w:t>
      </w:r>
    </w:p>
    <w:p w14:paraId="09DC3166" w14:textId="3B66EE67" w:rsidR="00B95F1F" w:rsidRDefault="00B95F1F" w:rsidP="00B95F1F">
      <w:pPr>
        <w:pStyle w:val="Standard"/>
        <w:spacing w:line="320" w:lineRule="atLeast"/>
        <w:jc w:val="right"/>
        <w:rPr>
          <w:rFonts w:cs="Arial"/>
          <w:b/>
          <w:bCs/>
        </w:rPr>
      </w:pPr>
    </w:p>
    <w:p w14:paraId="5F5FD212" w14:textId="1C401025" w:rsidR="00B95F1F" w:rsidRDefault="00D14525" w:rsidP="43F6FFCB">
      <w:pPr>
        <w:pStyle w:val="Standard"/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27</w:t>
      </w:r>
      <w:r w:rsidR="34B97F3D" w:rsidRPr="43F6FFCB">
        <w:rPr>
          <w:rFonts w:cs="Arial"/>
          <w:b/>
          <w:bCs/>
        </w:rPr>
        <w:t xml:space="preserve">. </w:t>
      </w:r>
      <w:r w:rsidR="00D23F60">
        <w:rPr>
          <w:rFonts w:cs="Arial"/>
          <w:b/>
          <w:bCs/>
        </w:rPr>
        <w:t>června</w:t>
      </w:r>
      <w:r w:rsidR="00B95F1F" w:rsidRPr="43F6FFCB">
        <w:rPr>
          <w:rFonts w:cs="Arial"/>
          <w:b/>
          <w:bCs/>
        </w:rPr>
        <w:t xml:space="preserve"> 2021</w:t>
      </w:r>
    </w:p>
    <w:p w14:paraId="7A0AE955" w14:textId="77777777" w:rsidR="00B95F1F" w:rsidRDefault="00B95F1F" w:rsidP="00B95F1F">
      <w:pPr>
        <w:pStyle w:val="Normlnweb"/>
        <w:pBdr>
          <w:top w:val="single" w:sz="12" w:space="0" w:color="00000A"/>
        </w:pBdr>
        <w:spacing w:before="0" w:after="0" w:line="300" w:lineRule="atLeast"/>
        <w:jc w:val="center"/>
      </w:pPr>
    </w:p>
    <w:p w14:paraId="0FA65832" w14:textId="517DA848" w:rsidR="00B95F1F" w:rsidRPr="002E3137" w:rsidRDefault="00B95F1F" w:rsidP="00B95F1F">
      <w:pPr>
        <w:pStyle w:val="paragraph"/>
        <w:spacing w:line="320" w:lineRule="atLeast"/>
        <w:jc w:val="both"/>
        <w:rPr>
          <w:rFonts w:cs="Arial"/>
          <w:b/>
          <w:bCs/>
          <w:color w:val="000000"/>
          <w:u w:val="single"/>
          <w:shd w:val="clear" w:color="auto" w:fill="FFFFFF"/>
        </w:rPr>
      </w:pPr>
      <w:r w:rsidRPr="002E3137">
        <w:rPr>
          <w:rFonts w:cs="Arial"/>
          <w:b/>
          <w:bCs/>
          <w:color w:val="000000"/>
          <w:u w:val="single"/>
          <w:shd w:val="clear" w:color="auto" w:fill="FFFFFF"/>
        </w:rPr>
        <w:t>Vyjádření Pavla Krumpára, obchodního ředitele JRD</w:t>
      </w:r>
    </w:p>
    <w:p w14:paraId="57760225" w14:textId="77777777" w:rsidR="00F869BB" w:rsidRDefault="00F869BB">
      <w:pPr>
        <w:pStyle w:val="paragraph"/>
        <w:spacing w:before="0" w:after="0" w:line="320" w:lineRule="atLeast"/>
        <w:jc w:val="both"/>
        <w:rPr>
          <w:rFonts w:cs="Arial"/>
          <w:b/>
          <w:bCs/>
          <w:color w:val="000000"/>
          <w:u w:val="single" w:color="000000"/>
        </w:rPr>
      </w:pPr>
    </w:p>
    <w:p w14:paraId="57760226" w14:textId="1BF8A6A2" w:rsidR="00F869BB" w:rsidRPr="00630407" w:rsidRDefault="006F2C65" w:rsidP="0026546E">
      <w:pPr>
        <w:pStyle w:val="Normlnweb"/>
        <w:spacing w:before="0" w:after="0" w:line="320" w:lineRule="atLeast"/>
        <w:jc w:val="both"/>
        <w:rPr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Ceny bytů rostou i v závislosti na fázi projektu</w:t>
      </w:r>
      <w:r w:rsidR="0026546E"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 w:rsidR="006A6B9E">
        <w:rPr>
          <w:rFonts w:ascii="Arial" w:hAnsi="Arial" w:cs="Arial"/>
          <w:b/>
          <w:color w:val="000000"/>
          <w:sz w:val="26"/>
          <w:szCs w:val="26"/>
        </w:rPr>
        <w:t xml:space="preserve">Do </w:t>
      </w:r>
      <w:r w:rsidR="0026546E">
        <w:rPr>
          <w:rFonts w:ascii="Arial" w:hAnsi="Arial" w:cs="Arial"/>
          <w:b/>
          <w:color w:val="000000"/>
          <w:sz w:val="26"/>
          <w:szCs w:val="26"/>
        </w:rPr>
        <w:t>kolaudac</w:t>
      </w:r>
      <w:r w:rsidR="006A6B9E">
        <w:rPr>
          <w:rFonts w:ascii="Arial" w:hAnsi="Arial" w:cs="Arial"/>
          <w:b/>
          <w:color w:val="000000"/>
          <w:sz w:val="26"/>
          <w:szCs w:val="26"/>
        </w:rPr>
        <w:t>e</w:t>
      </w:r>
      <w:r w:rsidR="0026546E">
        <w:rPr>
          <w:rFonts w:ascii="Arial" w:hAnsi="Arial" w:cs="Arial"/>
          <w:b/>
          <w:color w:val="000000"/>
          <w:sz w:val="26"/>
          <w:szCs w:val="26"/>
        </w:rPr>
        <w:t xml:space="preserve"> podraží o více než 7,5 %</w:t>
      </w:r>
    </w:p>
    <w:p w14:paraId="57760227" w14:textId="77777777" w:rsidR="00F869BB" w:rsidRDefault="00F869BB" w:rsidP="0026546E">
      <w:pPr>
        <w:pStyle w:val="Normlnweb"/>
        <w:spacing w:before="0" w:after="0" w:line="32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0683170F" w14:textId="757BC241" w:rsidR="00AF6626" w:rsidRDefault="00D353E4" w:rsidP="00FC6FA8">
      <w:pPr>
        <w:pStyle w:val="Normlnweb"/>
        <w:spacing w:before="0" w:after="0" w:line="320" w:lineRule="atLeast"/>
        <w:ind w:left="142" w:right="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prvním čtvrtletí vzrostly – podle HB indexu Hypoteční banky</w:t>
      </w:r>
      <w:r w:rsidR="00411ACC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>
        <w:rPr>
          <w:rFonts w:ascii="Arial" w:hAnsi="Arial" w:cs="Arial"/>
          <w:color w:val="000000"/>
          <w:sz w:val="22"/>
          <w:szCs w:val="22"/>
        </w:rPr>
        <w:t xml:space="preserve"> – tržní ceny bytů, rodinných domů a pozemků v České republice mezičtvrtletně nejvíce za posledních deset let. Je to dáno nejen zdlouhavým povolovacím procesem, tedy </w:t>
      </w:r>
      <w:r w:rsidR="00411ACC">
        <w:rPr>
          <w:rFonts w:ascii="Arial" w:hAnsi="Arial" w:cs="Arial"/>
          <w:color w:val="000000"/>
          <w:sz w:val="22"/>
          <w:szCs w:val="22"/>
        </w:rPr>
        <w:t>jedním z faktorů v</w:t>
      </w:r>
      <w:r>
        <w:rPr>
          <w:rFonts w:ascii="Arial" w:hAnsi="Arial" w:cs="Arial"/>
          <w:color w:val="000000"/>
          <w:sz w:val="22"/>
          <w:szCs w:val="22"/>
        </w:rPr>
        <w:t>elk</w:t>
      </w:r>
      <w:r w:rsidR="00411ACC">
        <w:rPr>
          <w:rFonts w:ascii="Arial" w:hAnsi="Arial" w:cs="Arial"/>
          <w:color w:val="000000"/>
          <w:sz w:val="22"/>
          <w:szCs w:val="22"/>
        </w:rPr>
        <w:t>ého</w:t>
      </w:r>
      <w:r>
        <w:rPr>
          <w:rFonts w:ascii="Arial" w:hAnsi="Arial" w:cs="Arial"/>
          <w:color w:val="000000"/>
          <w:sz w:val="22"/>
          <w:szCs w:val="22"/>
        </w:rPr>
        <w:t xml:space="preserve"> převis</w:t>
      </w:r>
      <w:r w:rsidR="00411ACC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poptávky nad nabídkou, ale také</w:t>
      </w:r>
      <w:r w:rsidR="00840A7C">
        <w:rPr>
          <w:rFonts w:ascii="Arial" w:hAnsi="Arial" w:cs="Arial"/>
          <w:color w:val="000000"/>
          <w:sz w:val="22"/>
          <w:szCs w:val="22"/>
        </w:rPr>
        <w:t xml:space="preserve"> nadstandardním zájmem investorů</w:t>
      </w:r>
      <w:r w:rsidR="00BD16D7">
        <w:rPr>
          <w:rFonts w:ascii="Arial" w:hAnsi="Arial" w:cs="Arial"/>
          <w:color w:val="000000"/>
          <w:sz w:val="22"/>
          <w:szCs w:val="22"/>
        </w:rPr>
        <w:t>, dostupným financováním</w:t>
      </w:r>
      <w:r w:rsidR="00840A7C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3170C">
        <w:rPr>
          <w:rFonts w:ascii="Arial" w:hAnsi="Arial" w:cs="Arial"/>
          <w:color w:val="000000"/>
          <w:sz w:val="22"/>
          <w:szCs w:val="22"/>
        </w:rPr>
        <w:t xml:space="preserve">zdražováním </w:t>
      </w:r>
      <w:r w:rsidR="00411ACC">
        <w:rPr>
          <w:rFonts w:ascii="Arial" w:hAnsi="Arial" w:cs="Arial"/>
          <w:color w:val="000000"/>
          <w:sz w:val="22"/>
          <w:szCs w:val="22"/>
        </w:rPr>
        <w:t>stavebních materiálů a</w:t>
      </w:r>
      <w:r w:rsidR="003722DF">
        <w:rPr>
          <w:rFonts w:ascii="Arial" w:hAnsi="Arial" w:cs="Arial"/>
          <w:color w:val="000000"/>
          <w:sz w:val="22"/>
          <w:szCs w:val="22"/>
        </w:rPr>
        <w:t> </w:t>
      </w:r>
      <w:r w:rsidR="00411ACC">
        <w:rPr>
          <w:rFonts w:ascii="Arial" w:hAnsi="Arial" w:cs="Arial"/>
          <w:color w:val="000000"/>
          <w:sz w:val="22"/>
          <w:szCs w:val="22"/>
        </w:rPr>
        <w:t>prací</w:t>
      </w:r>
      <w:r w:rsidR="00BD16D7">
        <w:rPr>
          <w:rFonts w:ascii="Arial" w:hAnsi="Arial" w:cs="Arial"/>
          <w:color w:val="000000"/>
          <w:sz w:val="22"/>
          <w:szCs w:val="22"/>
        </w:rPr>
        <w:t xml:space="preserve">. </w:t>
      </w:r>
      <w:r w:rsidR="008B10E7">
        <w:rPr>
          <w:rFonts w:ascii="Arial" w:hAnsi="Arial" w:cs="Arial"/>
          <w:color w:val="000000"/>
          <w:sz w:val="22"/>
          <w:szCs w:val="22"/>
        </w:rPr>
        <w:t>Při</w:t>
      </w:r>
      <w:r w:rsidR="00FC6FA8">
        <w:rPr>
          <w:rFonts w:ascii="Arial" w:hAnsi="Arial" w:cs="Arial"/>
          <w:color w:val="000000"/>
          <w:sz w:val="22"/>
          <w:szCs w:val="22"/>
        </w:rPr>
        <w:t xml:space="preserve"> detailnější</w:t>
      </w:r>
      <w:r w:rsidR="008B10E7">
        <w:rPr>
          <w:rFonts w:ascii="Arial" w:hAnsi="Arial" w:cs="Arial"/>
          <w:color w:val="000000"/>
          <w:sz w:val="22"/>
          <w:szCs w:val="22"/>
        </w:rPr>
        <w:t>m</w:t>
      </w:r>
      <w:r w:rsidR="00FC6FA8">
        <w:rPr>
          <w:rFonts w:ascii="Arial" w:hAnsi="Arial" w:cs="Arial"/>
          <w:color w:val="000000"/>
          <w:sz w:val="22"/>
          <w:szCs w:val="22"/>
        </w:rPr>
        <w:t xml:space="preserve"> pohledu na pražský trh s byty, kde </w:t>
      </w:r>
      <w:r w:rsidR="00BD16D7">
        <w:rPr>
          <w:rFonts w:ascii="Arial" w:hAnsi="Arial" w:cs="Arial"/>
          <w:color w:val="000000"/>
          <w:sz w:val="22"/>
          <w:szCs w:val="22"/>
        </w:rPr>
        <w:t>meziročně stoupla cena za 1 m</w:t>
      </w:r>
      <w:r w:rsidR="00BD16D7" w:rsidRPr="008A581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BD16D7">
        <w:rPr>
          <w:rFonts w:ascii="Arial" w:hAnsi="Arial" w:cs="Arial"/>
          <w:color w:val="000000"/>
          <w:sz w:val="22"/>
          <w:szCs w:val="22"/>
        </w:rPr>
        <w:t xml:space="preserve"> o 8,3 %</w:t>
      </w:r>
      <w:r w:rsidR="00FC6FA8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3"/>
      </w:r>
      <w:r w:rsidR="00BD16D7">
        <w:rPr>
          <w:rFonts w:ascii="Arial" w:hAnsi="Arial" w:cs="Arial"/>
          <w:color w:val="000000"/>
          <w:sz w:val="22"/>
          <w:szCs w:val="22"/>
        </w:rPr>
        <w:t>,</w:t>
      </w:r>
      <w:r w:rsidR="00FC6FA8">
        <w:rPr>
          <w:rFonts w:ascii="Arial" w:hAnsi="Arial" w:cs="Arial"/>
          <w:color w:val="000000"/>
          <w:sz w:val="22"/>
          <w:szCs w:val="22"/>
        </w:rPr>
        <w:t xml:space="preserve"> je navíc patrné, že ceny bytových jednotek </w:t>
      </w:r>
      <w:r w:rsidR="000E7E1C">
        <w:rPr>
          <w:rFonts w:ascii="Arial" w:hAnsi="Arial" w:cs="Arial"/>
          <w:color w:val="000000"/>
          <w:sz w:val="22"/>
          <w:szCs w:val="22"/>
        </w:rPr>
        <w:t xml:space="preserve">zde </w:t>
      </w:r>
      <w:r w:rsidR="00FC6FA8">
        <w:rPr>
          <w:rFonts w:ascii="Arial" w:hAnsi="Arial" w:cs="Arial"/>
          <w:color w:val="000000"/>
          <w:sz w:val="22"/>
          <w:szCs w:val="22"/>
        </w:rPr>
        <w:t>neúměrn</w:t>
      </w:r>
      <w:r w:rsidR="00B15ADC">
        <w:rPr>
          <w:rFonts w:ascii="Arial" w:hAnsi="Arial" w:cs="Arial"/>
          <w:color w:val="000000"/>
          <w:sz w:val="22"/>
          <w:szCs w:val="22"/>
        </w:rPr>
        <w:t>ě</w:t>
      </w:r>
      <w:r w:rsidR="00FC6FA8">
        <w:rPr>
          <w:rFonts w:ascii="Arial" w:hAnsi="Arial" w:cs="Arial"/>
          <w:color w:val="000000"/>
          <w:sz w:val="22"/>
          <w:szCs w:val="22"/>
        </w:rPr>
        <w:t xml:space="preserve"> rostou už </w:t>
      </w:r>
      <w:r w:rsidR="00282179">
        <w:rPr>
          <w:rFonts w:ascii="Arial" w:hAnsi="Arial" w:cs="Arial"/>
          <w:color w:val="000000"/>
          <w:sz w:val="22"/>
          <w:szCs w:val="22"/>
        </w:rPr>
        <w:t xml:space="preserve">v jednotlivých fázích developerského projektu. </w:t>
      </w:r>
    </w:p>
    <w:p w14:paraId="0141380B" w14:textId="7C8844D7" w:rsidR="00282179" w:rsidRDefault="00282179" w:rsidP="006D32B2">
      <w:pPr>
        <w:pStyle w:val="Normlnweb"/>
        <w:spacing w:before="0" w:after="0" w:line="320" w:lineRule="atLeast"/>
        <w:ind w:left="142" w:right="14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D65F3" w14:textId="124BF5E3" w:rsidR="00825EF9" w:rsidRDefault="00BF09ED" w:rsidP="00825EF9">
      <w:pPr>
        <w:pStyle w:val="Normlnweb"/>
        <w:spacing w:before="0" w:after="0" w:line="320" w:lineRule="atLeast"/>
        <w:ind w:left="142" w:right="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Analytické oddělení JRD </w:t>
      </w:r>
      <w:r w:rsidR="00CC2A83">
        <w:rPr>
          <w:rFonts w:ascii="Arial" w:hAnsi="Arial" w:cs="Arial"/>
          <w:color w:val="000000"/>
          <w:sz w:val="22"/>
          <w:szCs w:val="22"/>
        </w:rPr>
        <w:t>nyní</w:t>
      </w:r>
      <w:r w:rsidR="00E95E7F">
        <w:rPr>
          <w:rFonts w:ascii="Arial" w:hAnsi="Arial" w:cs="Arial"/>
          <w:color w:val="000000"/>
          <w:sz w:val="22"/>
          <w:szCs w:val="22"/>
        </w:rPr>
        <w:t xml:space="preserve"> </w:t>
      </w:r>
      <w:r w:rsidR="00840A7C">
        <w:rPr>
          <w:rFonts w:ascii="Arial" w:hAnsi="Arial" w:cs="Arial"/>
          <w:color w:val="000000"/>
          <w:sz w:val="22"/>
          <w:szCs w:val="22"/>
        </w:rPr>
        <w:t>zveřejnilo výsledky</w:t>
      </w:r>
      <w:r w:rsidR="00E95E7F">
        <w:rPr>
          <w:rFonts w:ascii="Arial" w:hAnsi="Arial" w:cs="Arial"/>
          <w:color w:val="000000"/>
          <w:sz w:val="22"/>
          <w:szCs w:val="22"/>
        </w:rPr>
        <w:t xml:space="preserve"> průzkum</w:t>
      </w:r>
      <w:r w:rsidR="00840A7C">
        <w:rPr>
          <w:rFonts w:ascii="Arial" w:hAnsi="Arial" w:cs="Arial"/>
          <w:color w:val="000000"/>
          <w:sz w:val="22"/>
          <w:szCs w:val="22"/>
        </w:rPr>
        <w:t>u</w:t>
      </w:r>
      <w:r w:rsidR="00FC6FA8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4"/>
      </w:r>
      <w:r w:rsidR="00E95E7F">
        <w:rPr>
          <w:rFonts w:ascii="Arial" w:hAnsi="Arial" w:cs="Arial"/>
          <w:color w:val="000000"/>
          <w:sz w:val="22"/>
          <w:szCs w:val="22"/>
        </w:rPr>
        <w:t>, z n</w:t>
      </w:r>
      <w:r w:rsidR="00840A7C">
        <w:rPr>
          <w:rFonts w:ascii="Arial" w:hAnsi="Arial" w:cs="Arial"/>
          <w:color w:val="000000"/>
          <w:sz w:val="22"/>
          <w:szCs w:val="22"/>
        </w:rPr>
        <w:t>ichž</w:t>
      </w:r>
      <w:r w:rsidR="00E95E7F">
        <w:rPr>
          <w:rFonts w:ascii="Arial" w:hAnsi="Arial" w:cs="Arial"/>
          <w:color w:val="000000"/>
          <w:sz w:val="22"/>
          <w:szCs w:val="22"/>
        </w:rPr>
        <w:t xml:space="preserve"> vyplývá, jakým způsobem se </w:t>
      </w:r>
      <w:r w:rsidR="00E64D70">
        <w:rPr>
          <w:rFonts w:ascii="Arial" w:hAnsi="Arial" w:cs="Arial"/>
          <w:color w:val="000000"/>
          <w:sz w:val="22"/>
          <w:szCs w:val="22"/>
        </w:rPr>
        <w:t>mění</w:t>
      </w:r>
      <w:r>
        <w:rPr>
          <w:rFonts w:ascii="Arial" w:hAnsi="Arial" w:cs="Arial"/>
          <w:color w:val="000000"/>
          <w:sz w:val="22"/>
          <w:szCs w:val="22"/>
        </w:rPr>
        <w:t xml:space="preserve"> ceny bytů mezi spuštěním prodeje, zahájení</w:t>
      </w:r>
      <w:r w:rsidR="00E95E7F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4D70">
        <w:rPr>
          <w:rFonts w:ascii="Arial" w:hAnsi="Arial" w:cs="Arial"/>
          <w:color w:val="000000"/>
          <w:sz w:val="22"/>
          <w:szCs w:val="22"/>
        </w:rPr>
        <w:t>vý</w:t>
      </w:r>
      <w:r>
        <w:rPr>
          <w:rFonts w:ascii="Arial" w:hAnsi="Arial" w:cs="Arial"/>
          <w:color w:val="000000"/>
          <w:sz w:val="22"/>
          <w:szCs w:val="22"/>
        </w:rPr>
        <w:t xml:space="preserve">stavby a kolaudací projektu. </w:t>
      </w:r>
      <w:r w:rsidR="00E95E7F">
        <w:rPr>
          <w:rFonts w:ascii="Arial" w:hAnsi="Arial" w:cs="Arial"/>
          <w:color w:val="000000"/>
          <w:sz w:val="22"/>
          <w:szCs w:val="22"/>
        </w:rPr>
        <w:t xml:space="preserve">Průměrná změna ceny </w:t>
      </w:r>
      <w:r>
        <w:rPr>
          <w:rFonts w:ascii="Arial" w:hAnsi="Arial" w:cs="Arial"/>
          <w:color w:val="000000"/>
          <w:sz w:val="22"/>
          <w:szCs w:val="22"/>
        </w:rPr>
        <w:t xml:space="preserve">vlivem samotného zahájení stavby činí přibližně 3 % a následně 4,5 % vlivem kolaudace: nový byt, </w:t>
      </w:r>
      <w:r w:rsidR="008D675A">
        <w:rPr>
          <w:rFonts w:ascii="Arial" w:hAnsi="Arial" w:cs="Arial"/>
          <w:color w:val="000000"/>
          <w:sz w:val="22"/>
          <w:szCs w:val="22"/>
        </w:rPr>
        <w:t>jenž</w:t>
      </w:r>
      <w:r>
        <w:rPr>
          <w:rFonts w:ascii="Arial" w:hAnsi="Arial" w:cs="Arial"/>
          <w:color w:val="000000"/>
          <w:sz w:val="22"/>
          <w:szCs w:val="22"/>
        </w:rPr>
        <w:t xml:space="preserve"> vydrží v nabídce až do svého dokončení, tak v průměru zdraží o 7,5 % (oproti ceně v přípravné fázi).</w:t>
      </w:r>
      <w:r w:rsidR="006D32B2">
        <w:rPr>
          <w:rFonts w:ascii="Arial" w:hAnsi="Arial" w:cs="Arial"/>
          <w:color w:val="000000"/>
          <w:sz w:val="22"/>
          <w:szCs w:val="22"/>
        </w:rPr>
        <w:t xml:space="preserve"> </w:t>
      </w:r>
      <w:r w:rsidR="0091283F">
        <w:rPr>
          <w:rFonts w:ascii="Arial" w:hAnsi="Arial" w:cs="Arial"/>
          <w:color w:val="000000"/>
          <w:sz w:val="22"/>
          <w:szCs w:val="22"/>
        </w:rPr>
        <w:t>Z</w:t>
      </w:r>
      <w:r w:rsidR="006D32B2">
        <w:rPr>
          <w:rFonts w:ascii="Arial" w:hAnsi="Arial" w:cs="Arial"/>
          <w:color w:val="000000"/>
          <w:sz w:val="22"/>
          <w:szCs w:val="22"/>
        </w:rPr>
        <w:t>ájemce</w:t>
      </w:r>
      <w:r w:rsidR="0091283F">
        <w:rPr>
          <w:rFonts w:ascii="Arial" w:hAnsi="Arial" w:cs="Arial"/>
          <w:color w:val="000000"/>
          <w:sz w:val="22"/>
          <w:szCs w:val="22"/>
        </w:rPr>
        <w:t>, který si</w:t>
      </w:r>
      <w:r w:rsidR="006D32B2">
        <w:rPr>
          <w:rFonts w:ascii="Arial" w:hAnsi="Arial" w:cs="Arial"/>
          <w:color w:val="000000"/>
          <w:sz w:val="22"/>
          <w:szCs w:val="22"/>
        </w:rPr>
        <w:t xml:space="preserve"> koup</w:t>
      </w:r>
      <w:r w:rsidR="00143B00">
        <w:rPr>
          <w:rFonts w:ascii="Arial" w:hAnsi="Arial" w:cs="Arial"/>
          <w:color w:val="000000"/>
          <w:sz w:val="22"/>
          <w:szCs w:val="22"/>
        </w:rPr>
        <w:t>í</w:t>
      </w:r>
      <w:r w:rsidR="006D32B2">
        <w:rPr>
          <w:rFonts w:ascii="Arial" w:hAnsi="Arial" w:cs="Arial"/>
          <w:color w:val="000000"/>
          <w:sz w:val="22"/>
          <w:szCs w:val="22"/>
        </w:rPr>
        <w:t xml:space="preserve"> </w:t>
      </w:r>
      <w:r w:rsidR="0091283F">
        <w:rPr>
          <w:rFonts w:ascii="Arial" w:hAnsi="Arial" w:cs="Arial"/>
          <w:color w:val="000000"/>
          <w:sz w:val="22"/>
          <w:szCs w:val="22"/>
        </w:rPr>
        <w:t>danou bytovou</w:t>
      </w:r>
      <w:r w:rsidR="006D32B2">
        <w:rPr>
          <w:rFonts w:ascii="Arial" w:hAnsi="Arial" w:cs="Arial"/>
          <w:color w:val="000000"/>
          <w:sz w:val="22"/>
          <w:szCs w:val="22"/>
        </w:rPr>
        <w:t xml:space="preserve"> jednotku po kolaudaci, </w:t>
      </w:r>
      <w:r w:rsidR="00143B00">
        <w:rPr>
          <w:rFonts w:ascii="Arial" w:hAnsi="Arial" w:cs="Arial"/>
          <w:color w:val="000000"/>
          <w:sz w:val="22"/>
          <w:szCs w:val="22"/>
        </w:rPr>
        <w:t>proto</w:t>
      </w:r>
      <w:r w:rsidR="0091283F">
        <w:rPr>
          <w:rFonts w:ascii="Arial" w:hAnsi="Arial" w:cs="Arial"/>
          <w:color w:val="000000"/>
          <w:sz w:val="22"/>
          <w:szCs w:val="22"/>
        </w:rPr>
        <w:t xml:space="preserve"> zaplat</w:t>
      </w:r>
      <w:r w:rsidR="00143B00">
        <w:rPr>
          <w:rFonts w:ascii="Arial" w:hAnsi="Arial" w:cs="Arial"/>
          <w:color w:val="000000"/>
          <w:sz w:val="22"/>
          <w:szCs w:val="22"/>
        </w:rPr>
        <w:t>í</w:t>
      </w:r>
      <w:r w:rsidR="006D32B2">
        <w:rPr>
          <w:rFonts w:ascii="Arial" w:hAnsi="Arial" w:cs="Arial"/>
          <w:color w:val="000000"/>
          <w:sz w:val="22"/>
          <w:szCs w:val="22"/>
        </w:rPr>
        <w:t xml:space="preserve"> </w:t>
      </w:r>
      <w:r w:rsidR="0091283F">
        <w:rPr>
          <w:rFonts w:ascii="Arial" w:hAnsi="Arial" w:cs="Arial"/>
          <w:color w:val="000000"/>
          <w:sz w:val="22"/>
          <w:szCs w:val="22"/>
        </w:rPr>
        <w:t xml:space="preserve">o </w:t>
      </w:r>
      <w:r w:rsidR="006D32B2">
        <w:rPr>
          <w:rFonts w:ascii="Arial" w:hAnsi="Arial" w:cs="Arial"/>
          <w:color w:val="000000"/>
          <w:sz w:val="22"/>
          <w:szCs w:val="22"/>
        </w:rPr>
        <w:t>stovky tisíc</w:t>
      </w:r>
      <w:r w:rsidR="00537AE8">
        <w:rPr>
          <w:rFonts w:ascii="Arial" w:hAnsi="Arial" w:cs="Arial"/>
          <w:color w:val="000000"/>
          <w:sz w:val="22"/>
          <w:szCs w:val="22"/>
        </w:rPr>
        <w:t xml:space="preserve"> korun </w:t>
      </w:r>
      <w:r w:rsidR="0091283F">
        <w:rPr>
          <w:rFonts w:ascii="Arial" w:hAnsi="Arial" w:cs="Arial"/>
          <w:color w:val="000000"/>
          <w:sz w:val="22"/>
          <w:szCs w:val="22"/>
        </w:rPr>
        <w:t>více než klient, jenž si ji poříd</w:t>
      </w:r>
      <w:r w:rsidR="00BE1EA4">
        <w:rPr>
          <w:rFonts w:ascii="Arial" w:hAnsi="Arial" w:cs="Arial"/>
          <w:color w:val="000000"/>
          <w:sz w:val="22"/>
          <w:szCs w:val="22"/>
        </w:rPr>
        <w:t>il</w:t>
      </w:r>
      <w:r w:rsidR="00143B00">
        <w:rPr>
          <w:rFonts w:ascii="Arial" w:hAnsi="Arial" w:cs="Arial"/>
          <w:color w:val="000000"/>
          <w:sz w:val="22"/>
          <w:szCs w:val="22"/>
        </w:rPr>
        <w:t xml:space="preserve"> </w:t>
      </w:r>
      <w:r w:rsidR="009A02FC">
        <w:rPr>
          <w:rFonts w:ascii="Arial" w:hAnsi="Arial" w:cs="Arial"/>
          <w:color w:val="000000"/>
          <w:sz w:val="22"/>
          <w:szCs w:val="22"/>
        </w:rPr>
        <w:t xml:space="preserve">ještě </w:t>
      </w:r>
      <w:r w:rsidR="0091283F">
        <w:rPr>
          <w:rFonts w:ascii="Arial" w:hAnsi="Arial" w:cs="Arial"/>
          <w:color w:val="000000"/>
          <w:sz w:val="22"/>
          <w:szCs w:val="22"/>
        </w:rPr>
        <w:t>tzv. na papíře</w:t>
      </w:r>
      <w:r w:rsidR="00825EF9">
        <w:rPr>
          <w:rFonts w:ascii="Arial" w:hAnsi="Arial" w:cs="Arial"/>
          <w:color w:val="000000"/>
          <w:sz w:val="22"/>
          <w:szCs w:val="22"/>
        </w:rPr>
        <w:t>.</w:t>
      </w:r>
    </w:p>
    <w:p w14:paraId="12C5D78E" w14:textId="56B1DCB8" w:rsidR="00282179" w:rsidRDefault="007D6CE0" w:rsidP="00825EF9">
      <w:pPr>
        <w:pStyle w:val="Normlnweb"/>
        <w:spacing w:before="0" w:after="0" w:line="320" w:lineRule="atLeast"/>
        <w:ind w:left="142" w:right="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C67580" w14:textId="7D511853" w:rsidR="008A581D" w:rsidRPr="008A581D" w:rsidRDefault="000E44D2" w:rsidP="008A581D">
      <w:pPr>
        <w:pStyle w:val="Normlnweb"/>
        <w:spacing w:before="0" w:after="0" w:line="320" w:lineRule="atLeast"/>
        <w:ind w:left="142" w:right="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556FCC" wp14:editId="5E3CCB99">
            <wp:simplePos x="0" y="0"/>
            <wp:positionH relativeFrom="margin">
              <wp:posOffset>98425</wp:posOffset>
            </wp:positionH>
            <wp:positionV relativeFrom="margin">
              <wp:posOffset>5076190</wp:posOffset>
            </wp:positionV>
            <wp:extent cx="3206750" cy="179641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2B2">
        <w:rPr>
          <w:rFonts w:ascii="Arial" w:hAnsi="Arial" w:cs="Arial"/>
          <w:color w:val="000000"/>
          <w:sz w:val="22"/>
          <w:szCs w:val="22"/>
        </w:rPr>
        <w:t>Daný výpočet se dá aplikovat také na</w:t>
      </w:r>
      <w:r w:rsidR="00835A63">
        <w:rPr>
          <w:rFonts w:ascii="Arial" w:hAnsi="Arial" w:cs="Arial"/>
          <w:color w:val="000000"/>
          <w:sz w:val="22"/>
          <w:szCs w:val="22"/>
        </w:rPr>
        <w:t> </w:t>
      </w:r>
      <w:r w:rsidR="006D32B2">
        <w:rPr>
          <w:rFonts w:ascii="Arial" w:hAnsi="Arial" w:cs="Arial"/>
          <w:color w:val="000000"/>
          <w:sz w:val="22"/>
          <w:szCs w:val="22"/>
        </w:rPr>
        <w:t>průměrný</w:t>
      </w:r>
      <w:r w:rsidR="00143B00">
        <w:rPr>
          <w:rFonts w:ascii="Arial" w:hAnsi="Arial" w:cs="Arial"/>
          <w:color w:val="000000"/>
          <w:sz w:val="22"/>
          <w:szCs w:val="22"/>
        </w:rPr>
        <w:t xml:space="preserve"> pražský</w:t>
      </w:r>
      <w:r w:rsidR="006D32B2">
        <w:rPr>
          <w:rFonts w:ascii="Arial" w:hAnsi="Arial" w:cs="Arial"/>
          <w:color w:val="000000"/>
          <w:sz w:val="22"/>
          <w:szCs w:val="22"/>
        </w:rPr>
        <w:t xml:space="preserve"> byt, který byl uvedený do prodeje v 1.</w:t>
      </w:r>
      <w:r w:rsidR="00143B00">
        <w:rPr>
          <w:rFonts w:ascii="Arial" w:hAnsi="Arial" w:cs="Arial"/>
          <w:color w:val="000000"/>
          <w:sz w:val="22"/>
          <w:szCs w:val="22"/>
        </w:rPr>
        <w:t> </w:t>
      </w:r>
      <w:r w:rsidR="006D32B2">
        <w:rPr>
          <w:rFonts w:ascii="Arial" w:hAnsi="Arial" w:cs="Arial"/>
          <w:color w:val="000000"/>
          <w:sz w:val="22"/>
          <w:szCs w:val="22"/>
        </w:rPr>
        <w:t xml:space="preserve">čtvrtletí roku 2021. </w:t>
      </w:r>
      <w:r w:rsidR="009A02FC">
        <w:rPr>
          <w:rFonts w:ascii="Arial" w:hAnsi="Arial" w:cs="Arial"/>
          <w:color w:val="000000"/>
          <w:sz w:val="22"/>
          <w:szCs w:val="22"/>
        </w:rPr>
        <w:t xml:space="preserve">Podle analýz JRD bylo v </w:t>
      </w:r>
      <w:r w:rsidR="00143B00">
        <w:rPr>
          <w:rFonts w:ascii="Arial" w:hAnsi="Arial" w:cs="Arial"/>
          <w:color w:val="000000"/>
          <w:sz w:val="22"/>
          <w:szCs w:val="22"/>
        </w:rPr>
        <w:t>tomto období představeno celkem 896</w:t>
      </w:r>
      <w:r w:rsidR="00840A7C">
        <w:rPr>
          <w:rFonts w:ascii="Arial" w:hAnsi="Arial" w:cs="Arial"/>
          <w:color w:val="000000"/>
          <w:sz w:val="22"/>
          <w:szCs w:val="22"/>
        </w:rPr>
        <w:t> </w:t>
      </w:r>
      <w:r w:rsidR="00143B00">
        <w:rPr>
          <w:rFonts w:ascii="Arial" w:hAnsi="Arial" w:cs="Arial"/>
          <w:color w:val="000000"/>
          <w:sz w:val="22"/>
          <w:szCs w:val="22"/>
        </w:rPr>
        <w:t>jednotek</w:t>
      </w:r>
      <w:r w:rsidR="00121CD6">
        <w:rPr>
          <w:rFonts w:ascii="Arial" w:hAnsi="Arial" w:cs="Arial"/>
          <w:color w:val="000000"/>
          <w:sz w:val="22"/>
          <w:szCs w:val="22"/>
        </w:rPr>
        <w:t xml:space="preserve"> </w:t>
      </w:r>
      <w:r w:rsidR="00143B00">
        <w:rPr>
          <w:rFonts w:ascii="Arial" w:hAnsi="Arial" w:cs="Arial"/>
          <w:color w:val="000000"/>
          <w:sz w:val="22"/>
          <w:szCs w:val="22"/>
        </w:rPr>
        <w:t>v</w:t>
      </w:r>
      <w:r w:rsidR="00E64D70">
        <w:rPr>
          <w:rFonts w:ascii="Arial" w:hAnsi="Arial" w:cs="Arial"/>
          <w:color w:val="000000"/>
          <w:sz w:val="22"/>
          <w:szCs w:val="22"/>
        </w:rPr>
        <w:t> </w:t>
      </w:r>
      <w:r w:rsidR="00143B00">
        <w:rPr>
          <w:rFonts w:ascii="Arial" w:hAnsi="Arial" w:cs="Arial"/>
          <w:color w:val="000000"/>
          <w:sz w:val="22"/>
          <w:szCs w:val="22"/>
        </w:rPr>
        <w:t>12</w:t>
      </w:r>
      <w:r w:rsidR="00E64D70">
        <w:rPr>
          <w:rFonts w:ascii="Arial" w:hAnsi="Arial" w:cs="Arial"/>
          <w:color w:val="000000"/>
          <w:sz w:val="22"/>
          <w:szCs w:val="22"/>
        </w:rPr>
        <w:t> </w:t>
      </w:r>
      <w:r w:rsidR="00143B00">
        <w:rPr>
          <w:rFonts w:ascii="Arial" w:hAnsi="Arial" w:cs="Arial"/>
          <w:color w:val="000000"/>
          <w:sz w:val="22"/>
          <w:szCs w:val="22"/>
        </w:rPr>
        <w:t xml:space="preserve">nových developerských projektech, z nichž se do přímého prodeje dostalo 625 bytů </w:t>
      </w:r>
      <w:r w:rsidR="00E64D70">
        <w:rPr>
          <w:rFonts w:ascii="Arial" w:hAnsi="Arial" w:cs="Arial"/>
          <w:color w:val="000000"/>
          <w:sz w:val="22"/>
          <w:szCs w:val="22"/>
        </w:rPr>
        <w:t xml:space="preserve">s pravomocným územním rozhodnutím </w:t>
      </w:r>
      <w:r w:rsidR="00143B00">
        <w:rPr>
          <w:rFonts w:ascii="Arial" w:hAnsi="Arial" w:cs="Arial"/>
          <w:color w:val="000000"/>
          <w:sz w:val="22"/>
          <w:szCs w:val="22"/>
        </w:rPr>
        <w:t>v celkové hodnotě 4,747</w:t>
      </w:r>
      <w:r w:rsidR="008D675A">
        <w:rPr>
          <w:rFonts w:ascii="Arial" w:hAnsi="Arial" w:cs="Arial"/>
          <w:color w:val="000000"/>
          <w:sz w:val="22"/>
          <w:szCs w:val="22"/>
        </w:rPr>
        <w:t> </w:t>
      </w:r>
      <w:r w:rsidR="00143B00">
        <w:rPr>
          <w:rFonts w:ascii="Arial" w:hAnsi="Arial" w:cs="Arial"/>
          <w:color w:val="000000"/>
          <w:sz w:val="22"/>
          <w:szCs w:val="22"/>
        </w:rPr>
        <w:t>mld. Kč: to činilo v průměru 119 447 Kč za m</w:t>
      </w:r>
      <w:r w:rsidR="00143B00" w:rsidRPr="00143B0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143B00">
        <w:rPr>
          <w:rFonts w:ascii="Arial" w:hAnsi="Arial" w:cs="Arial"/>
          <w:color w:val="000000"/>
          <w:sz w:val="22"/>
          <w:szCs w:val="22"/>
        </w:rPr>
        <w:t>, resp. 7 772 111 Kč za jednotku.</w:t>
      </w:r>
      <w:r w:rsidR="00E64D70">
        <w:rPr>
          <w:rFonts w:ascii="Arial" w:hAnsi="Arial" w:cs="Arial"/>
          <w:color w:val="000000"/>
          <w:sz w:val="22"/>
          <w:szCs w:val="22"/>
        </w:rPr>
        <w:t xml:space="preserve"> Pokud si klient nepořídil byt za tuto cenu</w:t>
      </w:r>
      <w:r w:rsidR="00C31729">
        <w:rPr>
          <w:rFonts w:ascii="Arial" w:hAnsi="Arial" w:cs="Arial"/>
          <w:color w:val="000000"/>
          <w:sz w:val="22"/>
          <w:szCs w:val="22"/>
        </w:rPr>
        <w:t xml:space="preserve"> hned na počátku</w:t>
      </w:r>
      <w:r w:rsidR="00E64D70">
        <w:rPr>
          <w:rFonts w:ascii="Arial" w:hAnsi="Arial" w:cs="Arial"/>
          <w:color w:val="000000"/>
          <w:sz w:val="22"/>
          <w:szCs w:val="22"/>
        </w:rPr>
        <w:t xml:space="preserve">, při zahájení výstavby již zaplatí o 3 % více, </w:t>
      </w:r>
      <w:r w:rsidR="00840A7C">
        <w:rPr>
          <w:rFonts w:ascii="Arial" w:hAnsi="Arial" w:cs="Arial"/>
          <w:color w:val="000000"/>
          <w:sz w:val="22"/>
          <w:szCs w:val="22"/>
        </w:rPr>
        <w:t>což dále naroste o</w:t>
      </w:r>
      <w:r w:rsidR="003722DF">
        <w:rPr>
          <w:rFonts w:ascii="Arial" w:hAnsi="Arial" w:cs="Arial"/>
          <w:color w:val="000000"/>
          <w:sz w:val="22"/>
          <w:szCs w:val="22"/>
        </w:rPr>
        <w:t> </w:t>
      </w:r>
      <w:r w:rsidR="00E64D70">
        <w:rPr>
          <w:rFonts w:ascii="Arial" w:hAnsi="Arial" w:cs="Arial"/>
          <w:color w:val="000000"/>
          <w:sz w:val="22"/>
          <w:szCs w:val="22"/>
        </w:rPr>
        <w:t>4,5</w:t>
      </w:r>
      <w:r w:rsidR="003722DF">
        <w:rPr>
          <w:rFonts w:ascii="Arial" w:hAnsi="Arial" w:cs="Arial"/>
          <w:color w:val="000000"/>
          <w:sz w:val="22"/>
          <w:szCs w:val="22"/>
        </w:rPr>
        <w:t> </w:t>
      </w:r>
      <w:r w:rsidR="00E64D70">
        <w:rPr>
          <w:rFonts w:ascii="Arial" w:hAnsi="Arial" w:cs="Arial"/>
          <w:color w:val="000000"/>
          <w:sz w:val="22"/>
          <w:szCs w:val="22"/>
        </w:rPr>
        <w:t>% při jeho kolaudaci. V konečném součtu tak připlatí dalších nejméně 594 400 Kč. Očekáváme ale, že výsledná cifra bude ještě vyšší. Není v ní totiž přihlédnuto k přirozené</w:t>
      </w:r>
      <w:r w:rsidR="003722DF">
        <w:rPr>
          <w:rFonts w:ascii="Arial" w:hAnsi="Arial" w:cs="Arial"/>
          <w:color w:val="000000"/>
          <w:sz w:val="22"/>
          <w:szCs w:val="22"/>
        </w:rPr>
        <w:t>mu</w:t>
      </w:r>
      <w:r w:rsidR="00E64D70">
        <w:rPr>
          <w:rFonts w:ascii="Arial" w:hAnsi="Arial" w:cs="Arial"/>
          <w:color w:val="000000"/>
          <w:sz w:val="22"/>
          <w:szCs w:val="22"/>
        </w:rPr>
        <w:t xml:space="preserve"> růstu cen v čase (tedy inflaci)</w:t>
      </w:r>
      <w:r w:rsidR="003A7AFF">
        <w:rPr>
          <w:rFonts w:ascii="Arial" w:hAnsi="Arial" w:cs="Arial"/>
          <w:color w:val="000000"/>
          <w:sz w:val="22"/>
          <w:szCs w:val="22"/>
        </w:rPr>
        <w:t>, kterou je nyní poměrně těžké předvídat.</w:t>
      </w:r>
      <w:r w:rsidR="00E64D70">
        <w:rPr>
          <w:rFonts w:ascii="Arial" w:hAnsi="Arial" w:cs="Arial"/>
          <w:color w:val="000000"/>
          <w:sz w:val="22"/>
          <w:szCs w:val="22"/>
        </w:rPr>
        <w:t xml:space="preserve"> </w:t>
      </w:r>
      <w:r w:rsidR="008A581D" w:rsidRPr="008A581D">
        <w:rPr>
          <w:rFonts w:ascii="Arial" w:hAnsi="Arial" w:cs="Arial"/>
          <w:sz w:val="22"/>
          <w:szCs w:val="22"/>
          <w:lang w:eastAsia="en-US"/>
        </w:rPr>
        <w:t xml:space="preserve">Pokud by </w:t>
      </w:r>
      <w:r w:rsidR="008A581D">
        <w:rPr>
          <w:rFonts w:ascii="Arial" w:hAnsi="Arial" w:cs="Arial"/>
          <w:sz w:val="22"/>
          <w:szCs w:val="22"/>
          <w:lang w:eastAsia="en-US"/>
        </w:rPr>
        <w:t>tak byl</w:t>
      </w:r>
      <w:r w:rsidR="008A581D" w:rsidRPr="008A581D">
        <w:rPr>
          <w:rFonts w:ascii="Arial" w:hAnsi="Arial" w:cs="Arial"/>
          <w:sz w:val="22"/>
          <w:szCs w:val="22"/>
          <w:lang w:eastAsia="en-US"/>
        </w:rPr>
        <w:t xml:space="preserve"> uvažován </w:t>
      </w:r>
      <w:r w:rsidR="008A581D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8A581D" w:rsidRPr="008A581D">
        <w:rPr>
          <w:rFonts w:ascii="Arial" w:hAnsi="Arial" w:cs="Arial"/>
          <w:sz w:val="22"/>
          <w:szCs w:val="22"/>
          <w:lang w:eastAsia="en-US"/>
        </w:rPr>
        <w:t>přirozený růst cen v očekávané výši 5,2</w:t>
      </w:r>
      <w:r w:rsidR="008A581D">
        <w:rPr>
          <w:rFonts w:ascii="Arial" w:hAnsi="Arial" w:cs="Arial"/>
          <w:sz w:val="22"/>
          <w:szCs w:val="22"/>
          <w:lang w:eastAsia="en-US"/>
        </w:rPr>
        <w:t> </w:t>
      </w:r>
      <w:r w:rsidR="008A581D" w:rsidRPr="008A581D">
        <w:rPr>
          <w:rFonts w:ascii="Arial" w:hAnsi="Arial" w:cs="Arial"/>
          <w:sz w:val="22"/>
          <w:szCs w:val="22"/>
          <w:lang w:eastAsia="en-US"/>
        </w:rPr>
        <w:t>% ročně, pak by výsledná cena bytu činila (za první rok v nabídce) ještě o 404 150 Kč více</w:t>
      </w:r>
      <w:r w:rsidR="008A581D">
        <w:rPr>
          <w:rFonts w:ascii="Arial" w:hAnsi="Arial" w:cs="Arial"/>
          <w:sz w:val="22"/>
          <w:szCs w:val="22"/>
          <w:lang w:eastAsia="en-US"/>
        </w:rPr>
        <w:t>.</w:t>
      </w:r>
    </w:p>
    <w:p w14:paraId="04662BDE" w14:textId="77777777" w:rsidR="008A581D" w:rsidRDefault="008A581D" w:rsidP="00E64D70">
      <w:pPr>
        <w:pStyle w:val="Normlnweb"/>
        <w:spacing w:before="0" w:after="0" w:line="320" w:lineRule="atLeast"/>
        <w:ind w:left="142" w:right="140"/>
        <w:jc w:val="both"/>
        <w:rPr>
          <w:rFonts w:ascii="Arial" w:hAnsi="Arial" w:cs="Arial"/>
          <w:color w:val="000000"/>
          <w:sz w:val="22"/>
          <w:szCs w:val="22"/>
        </w:rPr>
      </w:pPr>
    </w:p>
    <w:p w14:paraId="5EB04441" w14:textId="62C97CF4" w:rsidR="00E64D70" w:rsidRDefault="008225D3" w:rsidP="008A581D">
      <w:pPr>
        <w:pStyle w:val="Normlnweb"/>
        <w:spacing w:before="0" w:after="0" w:line="320" w:lineRule="atLeast"/>
        <w:ind w:right="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V současné době motivují ke koupi bytu </w:t>
      </w:r>
      <w:r w:rsidR="00035EF9">
        <w:rPr>
          <w:rFonts w:ascii="Arial" w:hAnsi="Arial" w:cs="Arial"/>
          <w:color w:val="000000"/>
          <w:sz w:val="22"/>
          <w:szCs w:val="22"/>
        </w:rPr>
        <w:t>tzv. na papíře i</w:t>
      </w:r>
      <w:r w:rsidR="001141E8">
        <w:rPr>
          <w:rFonts w:ascii="Arial" w:hAnsi="Arial" w:cs="Arial"/>
          <w:color w:val="000000"/>
          <w:sz w:val="22"/>
          <w:szCs w:val="22"/>
        </w:rPr>
        <w:t xml:space="preserve"> </w:t>
      </w:r>
      <w:r w:rsidR="00BE1EA4">
        <w:rPr>
          <w:rFonts w:ascii="Arial" w:hAnsi="Arial" w:cs="Arial"/>
          <w:color w:val="000000"/>
          <w:sz w:val="22"/>
          <w:szCs w:val="22"/>
        </w:rPr>
        <w:t xml:space="preserve">nízké </w:t>
      </w:r>
      <w:r w:rsidR="001141E8">
        <w:rPr>
          <w:rFonts w:ascii="Arial" w:hAnsi="Arial" w:cs="Arial"/>
          <w:color w:val="000000"/>
          <w:sz w:val="22"/>
          <w:szCs w:val="22"/>
        </w:rPr>
        <w:t>úrokové sazby hypoték.</w:t>
      </w:r>
      <w:r w:rsidR="00BE1EA4">
        <w:rPr>
          <w:rFonts w:ascii="Arial" w:hAnsi="Arial" w:cs="Arial"/>
          <w:color w:val="000000"/>
          <w:sz w:val="22"/>
          <w:szCs w:val="22"/>
        </w:rPr>
        <w:t xml:space="preserve"> Ty</w:t>
      </w:r>
      <w:r w:rsidR="009A67C0">
        <w:rPr>
          <w:rFonts w:ascii="Arial" w:hAnsi="Arial" w:cs="Arial"/>
          <w:color w:val="000000"/>
          <w:sz w:val="22"/>
          <w:szCs w:val="22"/>
        </w:rPr>
        <w:t xml:space="preserve"> však</w:t>
      </w:r>
      <w:r w:rsidR="00BE1EA4">
        <w:rPr>
          <w:rFonts w:ascii="Arial" w:hAnsi="Arial" w:cs="Arial"/>
          <w:color w:val="000000"/>
          <w:sz w:val="22"/>
          <w:szCs w:val="22"/>
        </w:rPr>
        <w:t xml:space="preserve"> již zaznamenaly první plošné zvýšení</w:t>
      </w:r>
      <w:r w:rsidR="009A67C0">
        <w:rPr>
          <w:rFonts w:ascii="Arial" w:hAnsi="Arial" w:cs="Arial"/>
          <w:color w:val="000000"/>
          <w:sz w:val="22"/>
          <w:szCs w:val="22"/>
        </w:rPr>
        <w:t xml:space="preserve">, které pravděpodobně přeroste v budoucí trend. Odborníci totiž </w:t>
      </w:r>
      <w:r w:rsidR="00BE1EA4">
        <w:rPr>
          <w:rFonts w:ascii="Arial" w:hAnsi="Arial" w:cs="Arial"/>
          <w:color w:val="000000"/>
          <w:sz w:val="22"/>
          <w:szCs w:val="22"/>
        </w:rPr>
        <w:t xml:space="preserve">nepředpokládají, že by se do konce letošního roku dala očekávat jejich stagnace nebo snižování. </w:t>
      </w:r>
      <w:r w:rsidR="00835A63">
        <w:rPr>
          <w:rFonts w:ascii="Arial" w:hAnsi="Arial" w:cs="Arial"/>
          <w:color w:val="000000"/>
          <w:sz w:val="22"/>
          <w:szCs w:val="22"/>
        </w:rPr>
        <w:t>Pořízení bytu až po kolaudac</w:t>
      </w:r>
      <w:r w:rsidR="000E44D2">
        <w:rPr>
          <w:rFonts w:ascii="Arial" w:hAnsi="Arial" w:cs="Arial"/>
          <w:color w:val="000000"/>
          <w:sz w:val="22"/>
          <w:szCs w:val="22"/>
        </w:rPr>
        <w:t>i</w:t>
      </w:r>
      <w:r w:rsidR="00835A63">
        <w:rPr>
          <w:rFonts w:ascii="Arial" w:hAnsi="Arial" w:cs="Arial"/>
          <w:color w:val="000000"/>
          <w:sz w:val="22"/>
          <w:szCs w:val="22"/>
        </w:rPr>
        <w:t xml:space="preserve"> </w:t>
      </w:r>
      <w:r w:rsidR="00982BE5">
        <w:rPr>
          <w:rFonts w:ascii="Arial" w:hAnsi="Arial" w:cs="Arial"/>
          <w:color w:val="000000"/>
          <w:sz w:val="22"/>
          <w:szCs w:val="22"/>
        </w:rPr>
        <w:t>proto</w:t>
      </w:r>
      <w:r w:rsidR="00835A63">
        <w:rPr>
          <w:rFonts w:ascii="Arial" w:hAnsi="Arial" w:cs="Arial"/>
          <w:color w:val="000000"/>
          <w:sz w:val="22"/>
          <w:szCs w:val="22"/>
        </w:rPr>
        <w:t xml:space="preserve"> sice přin</w:t>
      </w:r>
      <w:r w:rsidR="00BE1EA4">
        <w:rPr>
          <w:rFonts w:ascii="Arial" w:hAnsi="Arial" w:cs="Arial"/>
          <w:color w:val="000000"/>
          <w:sz w:val="22"/>
          <w:szCs w:val="22"/>
        </w:rPr>
        <w:t>ese</w:t>
      </w:r>
      <w:r w:rsidR="00835A63">
        <w:rPr>
          <w:rFonts w:ascii="Arial" w:hAnsi="Arial" w:cs="Arial"/>
          <w:color w:val="000000"/>
          <w:sz w:val="22"/>
          <w:szCs w:val="22"/>
        </w:rPr>
        <w:t xml:space="preserve"> </w:t>
      </w:r>
      <w:r w:rsidR="000E44D2">
        <w:rPr>
          <w:rFonts w:ascii="Arial" w:hAnsi="Arial" w:cs="Arial"/>
          <w:color w:val="000000"/>
          <w:sz w:val="22"/>
          <w:szCs w:val="22"/>
        </w:rPr>
        <w:t>novému majitel</w:t>
      </w:r>
      <w:r w:rsidR="00CC2A83">
        <w:rPr>
          <w:rFonts w:ascii="Arial" w:hAnsi="Arial" w:cs="Arial"/>
          <w:color w:val="000000"/>
          <w:sz w:val="22"/>
          <w:szCs w:val="22"/>
        </w:rPr>
        <w:t>i</w:t>
      </w:r>
      <w:r w:rsidR="00835A63">
        <w:rPr>
          <w:rFonts w:ascii="Arial" w:hAnsi="Arial" w:cs="Arial"/>
          <w:color w:val="000000"/>
          <w:sz w:val="22"/>
          <w:szCs w:val="22"/>
        </w:rPr>
        <w:t xml:space="preserve"> větší jistotu, že </w:t>
      </w:r>
      <w:r w:rsidR="000E44D2">
        <w:rPr>
          <w:rFonts w:ascii="Arial" w:hAnsi="Arial" w:cs="Arial"/>
          <w:color w:val="000000"/>
          <w:sz w:val="22"/>
          <w:szCs w:val="22"/>
        </w:rPr>
        <w:t xml:space="preserve">získá bydlení (či investici) zcela podle svých představ, </w:t>
      </w:r>
      <w:r w:rsidR="008F764E">
        <w:rPr>
          <w:rFonts w:ascii="Arial" w:hAnsi="Arial" w:cs="Arial"/>
          <w:color w:val="000000"/>
          <w:sz w:val="22"/>
          <w:szCs w:val="22"/>
        </w:rPr>
        <w:t xml:space="preserve">protože si jej může na vlastní oči prohlédnout, </w:t>
      </w:r>
      <w:r w:rsidR="000E44D2">
        <w:rPr>
          <w:rFonts w:ascii="Arial" w:hAnsi="Arial" w:cs="Arial"/>
          <w:color w:val="000000"/>
          <w:sz w:val="22"/>
          <w:szCs w:val="22"/>
        </w:rPr>
        <w:t>musí ale počítat s vyššími pořizovacími náklady</w:t>
      </w:r>
      <w:r w:rsidR="009A67C0">
        <w:rPr>
          <w:rFonts w:ascii="Arial" w:hAnsi="Arial" w:cs="Arial"/>
          <w:color w:val="000000"/>
          <w:sz w:val="22"/>
          <w:szCs w:val="22"/>
        </w:rPr>
        <w:t xml:space="preserve"> způsobenými jak změnami </w:t>
      </w:r>
      <w:r w:rsidR="00CC2A83">
        <w:rPr>
          <w:rFonts w:ascii="Arial" w:hAnsi="Arial" w:cs="Arial"/>
          <w:color w:val="000000"/>
          <w:sz w:val="22"/>
          <w:szCs w:val="22"/>
        </w:rPr>
        <w:t xml:space="preserve">jeho </w:t>
      </w:r>
      <w:r w:rsidR="009A67C0">
        <w:rPr>
          <w:rFonts w:ascii="Arial" w:hAnsi="Arial" w:cs="Arial"/>
          <w:color w:val="000000"/>
          <w:sz w:val="22"/>
          <w:szCs w:val="22"/>
        </w:rPr>
        <w:t xml:space="preserve">ceny během jednotlivých fází projektu, tak zvyšováním inflace a </w:t>
      </w:r>
      <w:r w:rsidR="00BE1EA4">
        <w:rPr>
          <w:rFonts w:ascii="Arial" w:hAnsi="Arial" w:cs="Arial"/>
          <w:color w:val="000000"/>
          <w:sz w:val="22"/>
          <w:szCs w:val="22"/>
        </w:rPr>
        <w:t xml:space="preserve">úrokových sazeb hypoték. </w:t>
      </w:r>
      <w:r w:rsidR="008F764E">
        <w:rPr>
          <w:rFonts w:ascii="Arial" w:hAnsi="Arial" w:cs="Arial"/>
          <w:color w:val="000000"/>
          <w:sz w:val="22"/>
          <w:szCs w:val="22"/>
        </w:rPr>
        <w:t>Navíc je velmi pravděpodobné, že vysněný dokončený byt</w:t>
      </w:r>
      <w:r w:rsidR="00F308AB">
        <w:rPr>
          <w:rFonts w:ascii="Arial" w:hAnsi="Arial" w:cs="Arial"/>
          <w:color w:val="000000"/>
          <w:sz w:val="22"/>
          <w:szCs w:val="22"/>
        </w:rPr>
        <w:t xml:space="preserve"> vůbec nesežene, neboť se kvůli enormní poptávce vše rychle rozprodá.</w:t>
      </w:r>
      <w:r w:rsidR="00121CD6">
        <w:rPr>
          <w:rFonts w:ascii="Arial" w:hAnsi="Arial" w:cs="Arial"/>
          <w:color w:val="000000"/>
          <w:sz w:val="22"/>
          <w:szCs w:val="22"/>
        </w:rPr>
        <w:t xml:space="preserve"> Například environmentálně šetrný projekt Bohdalecké kvarteto, u něhož jsme teprve nedávno zahájili výstavbu, je již z více než 75 % vyprodaný. </w:t>
      </w:r>
    </w:p>
    <w:p w14:paraId="0EB068AB" w14:textId="36B55A88" w:rsidR="00E64D70" w:rsidRDefault="00121CD6" w:rsidP="006D32B2">
      <w:pPr>
        <w:pStyle w:val="Normlnweb"/>
        <w:spacing w:before="0" w:after="0" w:line="320" w:lineRule="atLeast"/>
        <w:ind w:left="142" w:right="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19C08AE" wp14:editId="13CA0774">
            <wp:simplePos x="0" y="0"/>
            <wp:positionH relativeFrom="margin">
              <wp:posOffset>-635</wp:posOffset>
            </wp:positionH>
            <wp:positionV relativeFrom="margin">
              <wp:posOffset>2157730</wp:posOffset>
            </wp:positionV>
            <wp:extent cx="2652395" cy="17170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35759" w14:textId="10FF8C48" w:rsidR="00312705" w:rsidRDefault="00312705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5B9B54A8" w14:textId="665EEBF8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628F7DC1" w14:textId="4A7F6AEB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1535A0C6" w14:textId="456598E2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65A6DE7B" w14:textId="4DB2005B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40C47D92" w14:textId="4D123410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4E64247A" w14:textId="72D82DEA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6A6662CA" w14:textId="74E8D817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23B6DC19" w14:textId="39267ABB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143F34FF" w14:textId="57E0E50A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64CA201F" w14:textId="77777777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72551AA0" w14:textId="075FC7B5" w:rsidR="00121CD6" w:rsidRP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121CD6">
        <w:rPr>
          <w:rFonts w:ascii="Arial" w:hAnsi="Arial" w:cs="Arial"/>
          <w:i/>
          <w:iCs/>
          <w:sz w:val="18"/>
          <w:szCs w:val="18"/>
        </w:rPr>
        <w:t>Energeticky úsporný projekt JRD Bohdalecké kvarteto se 183 byty se zdravým vnitřním prostředím</w:t>
      </w:r>
    </w:p>
    <w:p w14:paraId="05A187AA" w14:textId="77777777" w:rsidR="00121CD6" w:rsidRDefault="00121CD6" w:rsidP="004F5A34">
      <w:pPr>
        <w:pStyle w:val="Normlnweb"/>
        <w:keepNext/>
        <w:spacing w:before="0" w:after="0"/>
        <w:ind w:right="-1"/>
        <w:jc w:val="both"/>
        <w:rPr>
          <w:rFonts w:ascii="Arial" w:hAnsi="Arial" w:cs="Arial"/>
          <w:sz w:val="22"/>
          <w:szCs w:val="22"/>
        </w:rPr>
      </w:pPr>
    </w:p>
    <w:p w14:paraId="30A8C51C" w14:textId="77777777" w:rsidR="00312705" w:rsidRDefault="00312705">
      <w:pPr>
        <w:pStyle w:val="Normlnweb"/>
        <w:keepNext/>
        <w:spacing w:before="0" w:after="0"/>
        <w:ind w:left="708" w:right="-1" w:hanging="708"/>
        <w:jc w:val="both"/>
        <w:rPr>
          <w:rFonts w:ascii="Arial" w:hAnsi="Arial" w:cs="Arial"/>
          <w:sz w:val="22"/>
          <w:szCs w:val="22"/>
        </w:rPr>
      </w:pPr>
    </w:p>
    <w:p w14:paraId="025AEA25" w14:textId="77777777" w:rsidR="00312705" w:rsidRDefault="00312705" w:rsidP="00312705">
      <w:pPr>
        <w:pStyle w:val="Normlnweb"/>
        <w:spacing w:before="0" w:after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Hlk69386980"/>
    </w:p>
    <w:p w14:paraId="74D52E8F" w14:textId="77777777" w:rsidR="00312705" w:rsidRPr="0046695D" w:rsidRDefault="00312705" w:rsidP="00312705">
      <w:pPr>
        <w:pStyle w:val="Normlnweb"/>
        <w:spacing w:before="0" w:after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6695D">
        <w:rPr>
          <w:rFonts w:ascii="Arial" w:hAnsi="Arial" w:cs="Arial"/>
          <w:b/>
          <w:bCs/>
          <w:color w:val="000000"/>
          <w:sz w:val="20"/>
          <w:szCs w:val="20"/>
        </w:rPr>
        <w:t>O společnosti JRD Development:</w:t>
      </w:r>
    </w:p>
    <w:p w14:paraId="316808BB" w14:textId="77777777" w:rsidR="00312705" w:rsidRDefault="00312705" w:rsidP="00312705">
      <w:pPr>
        <w:pStyle w:val="Normlnweb"/>
        <w:spacing w:before="0" w:after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46695D">
        <w:rPr>
          <w:rFonts w:ascii="Arial" w:hAnsi="Arial" w:cs="Arial"/>
          <w:i/>
          <w:iCs/>
          <w:color w:val="000000"/>
          <w:sz w:val="20"/>
          <w:szCs w:val="20"/>
        </w:rPr>
        <w:t>Společnost</w:t>
      </w:r>
      <w:r w:rsidRPr="0046695D">
        <w:rPr>
          <w:rFonts w:ascii="Arial" w:hAnsi="Arial" w:cs="Arial"/>
          <w:i/>
          <w:iCs/>
          <w:sz w:val="20"/>
          <w:szCs w:val="20"/>
        </w:rPr>
        <w:t xml:space="preserve"> JRD </w:t>
      </w:r>
      <w:r w:rsidRPr="0046695D">
        <w:rPr>
          <w:rFonts w:ascii="Arial" w:hAnsi="Arial" w:cs="Arial"/>
          <w:i/>
          <w:iCs/>
          <w:color w:val="000000"/>
          <w:sz w:val="20"/>
          <w:szCs w:val="20"/>
        </w:rPr>
        <w:t>Development, člen skupiny JRD Group, vznikla v roce 2003. Již brzy po svém založení zahájila výstavbu větších nízkoenergetických a pasivních projektů, které se do té doby nikdo nevěnoval, a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46695D">
        <w:rPr>
          <w:rFonts w:ascii="Arial" w:hAnsi="Arial" w:cs="Arial"/>
          <w:i/>
          <w:iCs/>
          <w:color w:val="000000"/>
          <w:sz w:val="20"/>
          <w:szCs w:val="20"/>
        </w:rPr>
        <w:t xml:space="preserve">zaměřila se na udržitelný rozvoj a zdravé bydlení. V současné době je na tomto trhu lídrem. O kvalitě jejích projektů svědčí nejen zájem klientů, ale také řada ocenění, jež stavby za svůj architektonický a ekologický přínos získaly v mnoha renomovaných soutěžích vč. Best of Realty – Nejlepší z realit, E.ON Energy Globe Award nebo </w:t>
      </w:r>
      <w:r w:rsidRPr="0046695D">
        <w:rPr>
          <w:rFonts w:ascii="Arial" w:hAnsi="Arial" w:cs="Arial"/>
          <w:i/>
          <w:iCs/>
          <w:sz w:val="20"/>
          <w:szCs w:val="20"/>
        </w:rPr>
        <w:t xml:space="preserve">Český energetický a ekologický projekt roku. </w:t>
      </w:r>
    </w:p>
    <w:p w14:paraId="7F23C42C" w14:textId="77777777" w:rsidR="00312705" w:rsidRPr="0046695D" w:rsidRDefault="00312705" w:rsidP="00312705">
      <w:pPr>
        <w:pStyle w:val="Normlnweb"/>
        <w:spacing w:before="0" w:after="0" w:line="240" w:lineRule="atLeast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A29CED0" w14:textId="7DE41BCE" w:rsidR="00312705" w:rsidRDefault="00312705" w:rsidP="00312705">
      <w:pPr>
        <w:pStyle w:val="Normlnweb"/>
        <w:spacing w:before="0" w:after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46695D">
        <w:rPr>
          <w:rFonts w:ascii="Arial" w:hAnsi="Arial" w:cs="Arial"/>
          <w:i/>
          <w:iCs/>
          <w:color w:val="000000"/>
          <w:sz w:val="20"/>
          <w:szCs w:val="20"/>
        </w:rPr>
        <w:t>JRD Development zrealizovala již 2</w:t>
      </w:r>
      <w:r w:rsidR="004763C1">
        <w:rPr>
          <w:rFonts w:ascii="Arial" w:hAnsi="Arial" w:cs="Arial"/>
          <w:i/>
          <w:iCs/>
          <w:color w:val="000000"/>
          <w:sz w:val="20"/>
          <w:szCs w:val="20"/>
        </w:rPr>
        <w:t>4</w:t>
      </w:r>
      <w:r w:rsidRPr="0046695D">
        <w:rPr>
          <w:rFonts w:ascii="Arial" w:hAnsi="Arial" w:cs="Arial"/>
          <w:i/>
          <w:iCs/>
          <w:color w:val="000000"/>
          <w:sz w:val="20"/>
          <w:szCs w:val="20"/>
        </w:rPr>
        <w:t xml:space="preserve"> developerských projektů. V současné době má v prodejním portfoliu 7</w:t>
      </w:r>
      <w:r w:rsidRPr="0046695D">
        <w:rPr>
          <w:rFonts w:ascii="Arial" w:hAnsi="Arial" w:cs="Arial"/>
          <w:i/>
          <w:iCs/>
          <w:sz w:val="20"/>
          <w:szCs w:val="20"/>
        </w:rPr>
        <w:t> rezidenčních projektů, administrativní budovu Viadukt Anděl a soubor pozemků Touškovský háj</w:t>
      </w:r>
      <w:r w:rsidRPr="0046695D">
        <w:rPr>
          <w:rFonts w:ascii="Arial" w:hAnsi="Arial" w:cs="Arial"/>
          <w:i/>
          <w:iCs/>
          <w:color w:val="000000"/>
          <w:sz w:val="20"/>
          <w:szCs w:val="20"/>
        </w:rPr>
        <w:t xml:space="preserve"> a řadu dalších projektů v přípravě. Mezi hlavní cíle developera patří posouvat hranice zdravého a</w:t>
      </w:r>
      <w:r w:rsidRPr="0046695D">
        <w:rPr>
          <w:rFonts w:ascii="Arial" w:hAnsi="Arial" w:cs="Arial"/>
          <w:i/>
          <w:iCs/>
        </w:rPr>
        <w:t> </w:t>
      </w:r>
      <w:r w:rsidRPr="0046695D">
        <w:rPr>
          <w:rFonts w:ascii="Arial" w:hAnsi="Arial" w:cs="Arial"/>
          <w:i/>
          <w:iCs/>
          <w:color w:val="000000"/>
          <w:sz w:val="20"/>
          <w:szCs w:val="20"/>
        </w:rPr>
        <w:t xml:space="preserve">ekologického bydlení a na trvalo se zařadit </w:t>
      </w:r>
      <w:r w:rsidRPr="0046695D">
        <w:rPr>
          <w:rFonts w:ascii="Arial" w:hAnsi="Arial" w:cs="Arial"/>
          <w:i/>
          <w:iCs/>
          <w:sz w:val="20"/>
          <w:szCs w:val="20"/>
        </w:rPr>
        <w:t>mezi tři největší pražské developery s obratem na úrovni 3 mld. Kč. V loňském roce dosáhl obratu 1,61 mld. Kč a letos zahajuje přípravu až 2 200 bytových jednotek o celkové velikosti kolem 145 tis. m</w:t>
      </w:r>
      <w:r w:rsidRPr="0046695D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46695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0EFBABB" w14:textId="77777777" w:rsidR="00312705" w:rsidRPr="00E75ADC" w:rsidRDefault="00312705" w:rsidP="00312705">
      <w:pPr>
        <w:pStyle w:val="Normlnweb"/>
        <w:spacing w:before="0" w:after="0" w:line="240" w:lineRule="atLeas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7DB887B" w14:textId="77777777" w:rsidR="00312705" w:rsidRPr="0046695D" w:rsidRDefault="00312705" w:rsidP="00312705">
      <w:pPr>
        <w:pStyle w:val="Normlnweb"/>
        <w:spacing w:before="0" w:after="0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46695D">
        <w:rPr>
          <w:rFonts w:ascii="Arial" w:hAnsi="Arial" w:cs="Arial"/>
          <w:i/>
          <w:iCs/>
          <w:color w:val="000000"/>
          <w:sz w:val="20"/>
          <w:szCs w:val="20"/>
        </w:rPr>
        <w:t xml:space="preserve">JRD Development je členem České rady pro šetrné budovy, Centra pasivního domu, Asociace developerů a Asociace pro rozvoj trhu nemovitostí. Její majitel Jan Řežáb je členem vědecké rady </w:t>
      </w:r>
      <w:r w:rsidRPr="0046695D">
        <w:rPr>
          <w:rFonts w:ascii="Arial" w:hAnsi="Arial" w:cs="Arial"/>
          <w:i/>
          <w:iCs/>
          <w:sz w:val="20"/>
          <w:szCs w:val="20"/>
        </w:rPr>
        <w:t>Univerzitního centra energeticky efektivních budov (UCEEB) ČVUT v Praze. JRD Development se navíc věnuje šíření osvěty o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46695D">
        <w:rPr>
          <w:rFonts w:ascii="Arial" w:hAnsi="Arial" w:cs="Arial"/>
          <w:i/>
          <w:iCs/>
          <w:sz w:val="20"/>
          <w:szCs w:val="20"/>
        </w:rPr>
        <w:t>významu zdravého bydlení. V letošním roce proto spustila Výzvu za zdravé bydlení pro zájemce z řad firem i jednotlivců, kteří rovněž vnímají důležitost výstavby zdravých domovů.</w:t>
      </w:r>
      <w:r w:rsidRPr="0046695D">
        <w:rPr>
          <w:rFonts w:ascii="Arial" w:hAnsi="Arial" w:cs="Arial"/>
          <w:b/>
          <w:bCs/>
          <w:i/>
          <w:iCs/>
        </w:rPr>
        <w:t xml:space="preserve"> </w:t>
      </w:r>
      <w:r w:rsidRPr="0046695D">
        <w:rPr>
          <w:rFonts w:ascii="Arial" w:hAnsi="Arial" w:cs="Arial"/>
          <w:i/>
          <w:iCs/>
          <w:sz w:val="20"/>
          <w:szCs w:val="20"/>
        </w:rPr>
        <w:t>Cílem této iniciativy je zvýšit mezi laickou i odbornou veřejností informovanost o významu zdravého mikroklimatu v interiérech a motivovat k rychlejšímu rozvoji udržitelného stavebnictví.</w:t>
      </w:r>
    </w:p>
    <w:p w14:paraId="5C0F836A" w14:textId="77777777" w:rsidR="00312705" w:rsidRPr="0046695D" w:rsidRDefault="00312705" w:rsidP="00312705">
      <w:pPr>
        <w:spacing w:line="240" w:lineRule="atLeast"/>
        <w:rPr>
          <w:rFonts w:ascii="Arial" w:hAnsi="Arial" w:cs="Arial"/>
          <w:b/>
          <w:bCs/>
          <w:i/>
          <w:iCs/>
        </w:rPr>
      </w:pPr>
    </w:p>
    <w:p w14:paraId="5A316434" w14:textId="77777777" w:rsidR="00312705" w:rsidRPr="0046695D" w:rsidRDefault="00312705" w:rsidP="00312705">
      <w:pPr>
        <w:spacing w:line="240" w:lineRule="atLeast"/>
        <w:rPr>
          <w:rFonts w:ascii="Arial" w:hAnsi="Arial" w:cs="Arial"/>
          <w:b/>
          <w:bCs/>
        </w:rPr>
      </w:pPr>
      <w:r w:rsidRPr="0046695D">
        <w:rPr>
          <w:rFonts w:ascii="Arial" w:hAnsi="Arial" w:cs="Arial"/>
          <w:b/>
          <w:bCs/>
        </w:rPr>
        <w:t>O skupině JRD Group:</w:t>
      </w:r>
    </w:p>
    <w:p w14:paraId="33DE11E8" w14:textId="2DA1CF6C" w:rsidR="00312705" w:rsidRPr="0046695D" w:rsidRDefault="004763C1" w:rsidP="00312705">
      <w:pPr>
        <w:spacing w:line="240" w:lineRule="atLeast"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hyperlink r:id="rId11" w:history="1">
        <w:r w:rsidR="00312705" w:rsidRPr="00613C9E">
          <w:rPr>
            <w:rStyle w:val="Hypertextovodkaz"/>
            <w:rFonts w:ascii="Arial" w:eastAsia="Calibri" w:hAnsi="Arial" w:cs="Arial"/>
            <w:i/>
            <w:iCs/>
          </w:rPr>
          <w:t>JRD Group</w:t>
        </w:r>
      </w:hyperlink>
      <w:r w:rsidR="00312705" w:rsidRPr="0046695D">
        <w:rPr>
          <w:rFonts w:ascii="Arial" w:hAnsi="Arial" w:cs="Arial"/>
          <w:i/>
          <w:iCs/>
          <w:color w:val="000000"/>
        </w:rPr>
        <w:t xml:space="preserve"> zastřešuje skupinu firem pod značkou JRD (JRD Development, JRD </w:t>
      </w:r>
      <w:r w:rsidR="00B15ADC">
        <w:rPr>
          <w:rFonts w:ascii="Arial" w:hAnsi="Arial" w:cs="Arial"/>
          <w:i/>
          <w:iCs/>
          <w:color w:val="000000"/>
        </w:rPr>
        <w:t>Pozemková banka</w:t>
      </w:r>
      <w:r w:rsidR="00312705" w:rsidRPr="0046695D">
        <w:rPr>
          <w:rFonts w:ascii="Arial" w:hAnsi="Arial" w:cs="Arial"/>
          <w:i/>
          <w:iCs/>
          <w:color w:val="000000"/>
        </w:rPr>
        <w:t xml:space="preserve">, JRD Energo, JRD Invest a JRD Plazma, pod kterou spadá společnost Millenium Technologies). Všechny jejich aktivity staví na jednotné filozofii, že cesta k udržitelné budoucnosti spočívá v propojení moderních technologií, čisté energie, ekologického přístupu a omezení energetické náročnosti staveb. Jednotlivé divize pokrývají široké spektrum oborů: od developmentu a nákupu či prodeje pozemků přes energetiku z obnovitelných zdrojů až po investice do výnosových nemovitostí. Z projektů moderní energetiky skupiny JRD Group stojí za zmínku </w:t>
      </w:r>
      <w:r w:rsidR="00312705" w:rsidRPr="0046695D">
        <w:rPr>
          <w:rFonts w:ascii="Arial" w:hAnsi="Arial" w:cs="Arial"/>
          <w:i/>
          <w:iCs/>
          <w:color w:val="000000" w:themeColor="text1"/>
        </w:rPr>
        <w:lastRenderedPageBreak/>
        <w:t xml:space="preserve">portfolio </w:t>
      </w:r>
      <w:r w:rsidR="00312705" w:rsidRPr="0046695D">
        <w:rPr>
          <w:rFonts w:ascii="Arial" w:hAnsi="Arial" w:cs="Arial"/>
          <w:i/>
          <w:iCs/>
          <w:color w:val="000000" w:themeColor="text1"/>
          <w:shd w:val="clear" w:color="auto" w:fill="FFFFFF"/>
        </w:rPr>
        <w:t>fotovoltaických elektráren o výkonu 3</w:t>
      </w:r>
      <w:r w:rsidR="00B15ADC">
        <w:rPr>
          <w:rFonts w:ascii="Arial" w:hAnsi="Arial" w:cs="Arial"/>
          <w:i/>
          <w:iCs/>
          <w:color w:val="000000" w:themeColor="text1"/>
          <w:shd w:val="clear" w:color="auto" w:fill="FFFFFF"/>
        </w:rPr>
        <w:t>7</w:t>
      </w:r>
      <w:r w:rsidR="00312705" w:rsidRPr="0046695D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MWp v České republice a Maďarsku, druhý největší větrný park v České republice s instalovanou kapacitou 26 MW nebo technologie plazmového zplyňování (environmentálně šetrné zpracování odpadů s výrobou elektrické a tepelné energie).</w:t>
      </w:r>
      <w:bookmarkEnd w:id="1"/>
    </w:p>
    <w:p w14:paraId="6961C426" w14:textId="77777777" w:rsidR="00312705" w:rsidRPr="007E1E97" w:rsidRDefault="00312705" w:rsidP="00312705">
      <w:pPr>
        <w:spacing w:line="240" w:lineRule="atLeast"/>
        <w:jc w:val="both"/>
        <w:rPr>
          <w:rFonts w:cs="Arial"/>
          <w:i/>
          <w:iCs/>
        </w:rPr>
      </w:pPr>
    </w:p>
    <w:p w14:paraId="66AEE1F5" w14:textId="77777777" w:rsidR="00312705" w:rsidRDefault="00312705" w:rsidP="00312705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before="120" w:line="240" w:lineRule="atLeast"/>
        <w:ind w:firstLine="284"/>
        <w:jc w:val="both"/>
        <w:rPr>
          <w:rFonts w:cs="Arial"/>
          <w:b/>
          <w:bCs/>
          <w:i/>
          <w:sz w:val="20"/>
          <w:szCs w:val="20"/>
          <w:u w:val="single"/>
        </w:rPr>
      </w:pPr>
      <w:r>
        <w:rPr>
          <w:rFonts w:cs="Arial"/>
          <w:b/>
          <w:bCs/>
          <w:i/>
          <w:sz w:val="20"/>
          <w:szCs w:val="20"/>
          <w:u w:val="single"/>
        </w:rPr>
        <w:t>Další informace:</w:t>
      </w:r>
    </w:p>
    <w:p w14:paraId="5E1F7361" w14:textId="77777777" w:rsidR="00312705" w:rsidRDefault="00312705" w:rsidP="00312705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before="60" w:line="240" w:lineRule="atLeast"/>
        <w:ind w:firstLine="28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Crest Communications</w:t>
      </w:r>
    </w:p>
    <w:p w14:paraId="779A4858" w14:textId="77777777" w:rsidR="00312705" w:rsidRDefault="00312705" w:rsidP="00312705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line="240" w:lineRule="atLeast"/>
        <w:ind w:firstLine="284"/>
        <w:jc w:val="both"/>
      </w:pPr>
      <w:r>
        <w:rPr>
          <w:rFonts w:cs="Arial"/>
          <w:sz w:val="20"/>
          <w:szCs w:val="20"/>
        </w:rPr>
        <w:t xml:space="preserve">Marcela Kukaňová, tel.: +420 731 613 618, </w:t>
      </w:r>
      <w:hyperlink r:id="rId12" w:history="1">
        <w:r>
          <w:rPr>
            <w:rStyle w:val="Hypertextovodkaz"/>
            <w:rFonts w:eastAsia="Calibri" w:cs="Arial"/>
            <w:sz w:val="20"/>
            <w:szCs w:val="20"/>
          </w:rPr>
          <w:t>marcela.kukanova@crestcom.cz</w:t>
        </w:r>
      </w:hyperlink>
    </w:p>
    <w:p w14:paraId="74D65EB0" w14:textId="77777777" w:rsidR="00312705" w:rsidRDefault="00312705" w:rsidP="00312705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line="240" w:lineRule="atLeast"/>
        <w:ind w:firstLine="284"/>
        <w:jc w:val="both"/>
      </w:pPr>
      <w:r>
        <w:rPr>
          <w:rFonts w:cs="Arial"/>
          <w:sz w:val="20"/>
          <w:szCs w:val="20"/>
        </w:rPr>
        <w:t xml:space="preserve">Marie Cimplová, tel.: +420 731 613 602, </w:t>
      </w:r>
      <w:hyperlink r:id="rId13" w:history="1">
        <w:r>
          <w:rPr>
            <w:rStyle w:val="Hypertextovodkaz"/>
            <w:rFonts w:eastAsia="Calibri" w:cs="Arial"/>
            <w:sz w:val="20"/>
            <w:szCs w:val="20"/>
          </w:rPr>
          <w:t>marie.cimplova@crestcom.cz</w:t>
        </w:r>
      </w:hyperlink>
    </w:p>
    <w:p w14:paraId="5EFB768E" w14:textId="77777777" w:rsidR="00312705" w:rsidRDefault="004763C1" w:rsidP="00312705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line="240" w:lineRule="atLeast"/>
        <w:ind w:firstLine="284"/>
        <w:jc w:val="both"/>
        <w:rPr>
          <w:rFonts w:cs="Arial"/>
          <w:b/>
          <w:sz w:val="20"/>
          <w:szCs w:val="20"/>
        </w:rPr>
      </w:pPr>
      <w:hyperlink r:id="rId14" w:history="1">
        <w:r w:rsidR="00312705" w:rsidRPr="00FA6A84">
          <w:rPr>
            <w:rStyle w:val="Hypertextovodkaz"/>
            <w:rFonts w:eastAsia="Calibri" w:cs="Arial"/>
            <w:b/>
            <w:sz w:val="20"/>
            <w:szCs w:val="20"/>
          </w:rPr>
          <w:t>www.crestcom.cz</w:t>
        </w:r>
      </w:hyperlink>
    </w:p>
    <w:p w14:paraId="6FFFFFB9" w14:textId="77777777" w:rsidR="00312705" w:rsidRDefault="00312705" w:rsidP="00312705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jc w:val="both"/>
        <w:rPr>
          <w:rFonts w:cs="Arial"/>
          <w:b/>
          <w:sz w:val="20"/>
          <w:szCs w:val="20"/>
        </w:rPr>
      </w:pPr>
    </w:p>
    <w:p w14:paraId="4B0249C0" w14:textId="77777777" w:rsidR="00312705" w:rsidRDefault="00312705" w:rsidP="00312705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ind w:firstLine="28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JRD</w:t>
      </w:r>
    </w:p>
    <w:p w14:paraId="31D43A2B" w14:textId="77777777" w:rsidR="00312705" w:rsidRDefault="00312705" w:rsidP="00312705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ind w:firstLine="284"/>
        <w:jc w:val="both"/>
        <w:rPr>
          <w:rStyle w:val="Hypertextovodkaz"/>
          <w:rFonts w:eastAsia="Calibri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Martina Hyklová, vedoucí marketingového oddělení, tel.: +420 721 665 576, </w:t>
      </w:r>
      <w:hyperlink r:id="rId15" w:history="1">
        <w:r>
          <w:rPr>
            <w:rStyle w:val="Hypertextovodkaz"/>
            <w:rFonts w:eastAsia="Calibri" w:cs="Arial"/>
            <w:sz w:val="20"/>
            <w:szCs w:val="20"/>
          </w:rPr>
          <w:t>hyklova@jrd.cz</w:t>
        </w:r>
      </w:hyperlink>
    </w:p>
    <w:p w14:paraId="35C86148" w14:textId="77777777" w:rsidR="00312705" w:rsidRPr="004F1A10" w:rsidRDefault="004763C1" w:rsidP="00312705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ind w:firstLine="284"/>
        <w:jc w:val="both"/>
        <w:rPr>
          <w:b/>
          <w:bCs/>
        </w:rPr>
      </w:pPr>
      <w:hyperlink r:id="rId16" w:history="1">
        <w:r w:rsidR="00312705" w:rsidRPr="004F1A10">
          <w:rPr>
            <w:rStyle w:val="Hypertextovodkaz"/>
            <w:rFonts w:eastAsia="Calibri" w:cs="Arial"/>
            <w:b/>
            <w:bCs/>
            <w:sz w:val="20"/>
            <w:szCs w:val="20"/>
          </w:rPr>
          <w:t>www.jrd.cz</w:t>
        </w:r>
      </w:hyperlink>
      <w:r w:rsidR="00312705" w:rsidRPr="004F1A10">
        <w:rPr>
          <w:rStyle w:val="Hypertextovodkaz"/>
          <w:rFonts w:eastAsia="Calibri" w:cs="Arial"/>
          <w:b/>
          <w:bCs/>
          <w:sz w:val="20"/>
          <w:szCs w:val="20"/>
        </w:rPr>
        <w:t xml:space="preserve">; </w:t>
      </w:r>
      <w:hyperlink r:id="rId17" w:history="1">
        <w:r w:rsidR="00312705" w:rsidRPr="004F1A10">
          <w:rPr>
            <w:rStyle w:val="Hypertextovodkaz"/>
            <w:rFonts w:eastAsia="Calibri" w:cs="Arial"/>
            <w:b/>
            <w:bCs/>
            <w:sz w:val="20"/>
            <w:szCs w:val="20"/>
          </w:rPr>
          <w:t>www.jrdgroup.cz</w:t>
        </w:r>
      </w:hyperlink>
    </w:p>
    <w:p w14:paraId="6348E2F1" w14:textId="77777777" w:rsidR="00312705" w:rsidRDefault="00312705" w:rsidP="00312705">
      <w:pPr>
        <w:pStyle w:val="Normlnweb"/>
        <w:keepNext/>
        <w:spacing w:before="0" w:after="0" w:line="320" w:lineRule="atLeast"/>
        <w:ind w:right="-1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7760245" w14:textId="77777777" w:rsidR="00F869BB" w:rsidRDefault="00F869BB">
      <w:pPr>
        <w:pStyle w:val="Normlnweb"/>
        <w:keepNext/>
        <w:spacing w:before="0" w:after="0"/>
        <w:ind w:right="-1"/>
        <w:jc w:val="both"/>
      </w:pPr>
    </w:p>
    <w:sectPr w:rsidR="00F869BB" w:rsidSect="00630407">
      <w:pgSz w:w="11906" w:h="16838"/>
      <w:pgMar w:top="1134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04B6" w14:textId="77777777" w:rsidR="00066BC9" w:rsidRDefault="00066BC9">
      <w:r>
        <w:separator/>
      </w:r>
    </w:p>
  </w:endnote>
  <w:endnote w:type="continuationSeparator" w:id="0">
    <w:p w14:paraId="669C734B" w14:textId="77777777" w:rsidR="00066BC9" w:rsidRDefault="00066BC9">
      <w:r>
        <w:continuationSeparator/>
      </w:r>
    </w:p>
  </w:endnote>
  <w:endnote w:type="continuationNotice" w:id="1">
    <w:p w14:paraId="6AB1C1B5" w14:textId="77777777" w:rsidR="00066BC9" w:rsidRDefault="00066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74D4" w14:textId="77777777" w:rsidR="00066BC9" w:rsidRDefault="00066BC9">
      <w:r>
        <w:rPr>
          <w:color w:val="000000"/>
        </w:rPr>
        <w:separator/>
      </w:r>
    </w:p>
  </w:footnote>
  <w:footnote w:type="continuationSeparator" w:id="0">
    <w:p w14:paraId="0A7C4DF9" w14:textId="77777777" w:rsidR="00066BC9" w:rsidRDefault="00066BC9">
      <w:r>
        <w:continuationSeparator/>
      </w:r>
    </w:p>
  </w:footnote>
  <w:footnote w:type="continuationNotice" w:id="1">
    <w:p w14:paraId="5E0B19CD" w14:textId="77777777" w:rsidR="00066BC9" w:rsidRDefault="00066BC9"/>
  </w:footnote>
  <w:footnote w:id="2">
    <w:p w14:paraId="56196672" w14:textId="7CBE199D" w:rsidR="00411ACC" w:rsidRPr="00AF6626" w:rsidRDefault="004763C1" w:rsidP="00AF6626">
      <w:pPr>
        <w:pStyle w:val="Textpoznpodarou"/>
        <w:jc w:val="both"/>
        <w:rPr>
          <w:sz w:val="18"/>
          <w:szCs w:val="18"/>
        </w:rPr>
      </w:pPr>
      <w:hyperlink r:id="rId1" w:history="1">
        <w:r w:rsidR="00411ACC" w:rsidRPr="00411ACC">
          <w:rPr>
            <w:rStyle w:val="Hypertextovodkaz"/>
            <w:sz w:val="18"/>
            <w:szCs w:val="18"/>
            <w:vertAlign w:val="superscript"/>
          </w:rPr>
          <w:footnoteRef/>
        </w:r>
        <w:r w:rsidR="00411ACC" w:rsidRPr="00411ACC">
          <w:rPr>
            <w:rStyle w:val="Hypertextovodkaz"/>
            <w:sz w:val="18"/>
            <w:szCs w:val="18"/>
          </w:rPr>
          <w:t xml:space="preserve"> https://www.hypotecnibanka.cz/o-bance/pro-media/hb-index/hb-index-zdrazovani-rezidencnich-nemovit1/</w:t>
        </w:r>
      </w:hyperlink>
      <w:r w:rsidR="00424357">
        <w:rPr>
          <w:sz w:val="18"/>
          <w:szCs w:val="18"/>
        </w:rPr>
        <w:t xml:space="preserve"> </w:t>
      </w:r>
    </w:p>
  </w:footnote>
  <w:footnote w:id="3">
    <w:p w14:paraId="1E9B83C5" w14:textId="5E1ECA09" w:rsidR="00FC6FA8" w:rsidRPr="00FD5864" w:rsidRDefault="00FC6FA8">
      <w:pPr>
        <w:pStyle w:val="Textpoznpodarou"/>
      </w:pPr>
      <w:r w:rsidRPr="008A581D">
        <w:rPr>
          <w:rStyle w:val="Znakapoznpodarou"/>
          <w:sz w:val="18"/>
          <w:szCs w:val="18"/>
        </w:rPr>
        <w:footnoteRef/>
      </w:r>
      <w:r w:rsidRPr="008A58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A581D">
        <w:rPr>
          <w:sz w:val="18"/>
          <w:szCs w:val="18"/>
        </w:rPr>
        <w:t>K 1. květnu 2021</w:t>
      </w:r>
      <w:r w:rsidR="00FD5864">
        <w:rPr>
          <w:sz w:val="18"/>
          <w:szCs w:val="18"/>
        </w:rPr>
        <w:t>: k danému termínu činila v Praze průměrná cena za 1 m</w:t>
      </w:r>
      <w:r w:rsidR="00FD5864" w:rsidRPr="008A581D">
        <w:rPr>
          <w:sz w:val="18"/>
          <w:szCs w:val="18"/>
          <w:vertAlign w:val="superscript"/>
        </w:rPr>
        <w:t>2</w:t>
      </w:r>
      <w:r w:rsidR="00FD5864">
        <w:rPr>
          <w:sz w:val="18"/>
          <w:szCs w:val="18"/>
          <w:vertAlign w:val="superscript"/>
        </w:rPr>
        <w:t> </w:t>
      </w:r>
      <w:r w:rsidR="00FD5864">
        <w:rPr>
          <w:sz w:val="18"/>
          <w:szCs w:val="18"/>
        </w:rPr>
        <w:t>125 855 Kč.</w:t>
      </w:r>
    </w:p>
  </w:footnote>
  <w:footnote w:id="4">
    <w:p w14:paraId="3FCD6510" w14:textId="47016AB0" w:rsidR="00FC6FA8" w:rsidRDefault="00FC6FA8" w:rsidP="008A581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F09ED">
        <w:rPr>
          <w:sz w:val="18"/>
          <w:szCs w:val="18"/>
        </w:rPr>
        <w:t>Průzkum analytického oddělení JRD proběhl na reprezentativním vzorku 1172 bytů v rámci 20 projektu 10</w:t>
      </w:r>
      <w:r>
        <w:rPr>
          <w:sz w:val="18"/>
          <w:szCs w:val="18"/>
        </w:rPr>
        <w:t> </w:t>
      </w:r>
      <w:r w:rsidRPr="00BF09ED">
        <w:rPr>
          <w:sz w:val="18"/>
          <w:szCs w:val="18"/>
        </w:rPr>
        <w:t>nejvýznamnějších pražských developerů</w:t>
      </w:r>
      <w:r w:rsidR="00FD5864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1258"/>
    <w:multiLevelType w:val="multilevel"/>
    <w:tmpl w:val="BE08D98A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" w15:restartNumberingAfterBreak="0">
    <w:nsid w:val="56955C9B"/>
    <w:multiLevelType w:val="multilevel"/>
    <w:tmpl w:val="EB50DB1A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" w15:restartNumberingAfterBreak="0">
    <w:nsid w:val="653B58C7"/>
    <w:multiLevelType w:val="multilevel"/>
    <w:tmpl w:val="21CCED6A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" w15:restartNumberingAfterBreak="0">
    <w:nsid w:val="69B46290"/>
    <w:multiLevelType w:val="multilevel"/>
    <w:tmpl w:val="D3B4345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6BA26AAB"/>
    <w:multiLevelType w:val="multilevel"/>
    <w:tmpl w:val="E8E2C85A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5" w15:restartNumberingAfterBreak="0">
    <w:nsid w:val="7A8B065C"/>
    <w:multiLevelType w:val="multilevel"/>
    <w:tmpl w:val="752CBC6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BB"/>
    <w:rsid w:val="00035EF9"/>
    <w:rsid w:val="00054BA7"/>
    <w:rsid w:val="00060C14"/>
    <w:rsid w:val="00066BC9"/>
    <w:rsid w:val="000B13B1"/>
    <w:rsid w:val="000B55A4"/>
    <w:rsid w:val="000C37E1"/>
    <w:rsid w:val="000E44D2"/>
    <w:rsid w:val="000E49D7"/>
    <w:rsid w:val="000E5F16"/>
    <w:rsid w:val="000E7E1C"/>
    <w:rsid w:val="001141E8"/>
    <w:rsid w:val="00121CD6"/>
    <w:rsid w:val="00130D45"/>
    <w:rsid w:val="00140769"/>
    <w:rsid w:val="00143B00"/>
    <w:rsid w:val="001820F5"/>
    <w:rsid w:val="001867DC"/>
    <w:rsid w:val="00223D54"/>
    <w:rsid w:val="00231925"/>
    <w:rsid w:val="00244503"/>
    <w:rsid w:val="0026546E"/>
    <w:rsid w:val="00282179"/>
    <w:rsid w:val="002936E4"/>
    <w:rsid w:val="002A6041"/>
    <w:rsid w:val="002B5619"/>
    <w:rsid w:val="00303235"/>
    <w:rsid w:val="00311E4F"/>
    <w:rsid w:val="00312705"/>
    <w:rsid w:val="003152C7"/>
    <w:rsid w:val="0034233B"/>
    <w:rsid w:val="00362F52"/>
    <w:rsid w:val="003722DF"/>
    <w:rsid w:val="00377A17"/>
    <w:rsid w:val="003977B0"/>
    <w:rsid w:val="003A3BDC"/>
    <w:rsid w:val="003A7AFF"/>
    <w:rsid w:val="003B520E"/>
    <w:rsid w:val="003C4989"/>
    <w:rsid w:val="003E36BD"/>
    <w:rsid w:val="00411ACC"/>
    <w:rsid w:val="0041569E"/>
    <w:rsid w:val="004158BA"/>
    <w:rsid w:val="00424357"/>
    <w:rsid w:val="004265E4"/>
    <w:rsid w:val="0043557F"/>
    <w:rsid w:val="004763C1"/>
    <w:rsid w:val="004E373F"/>
    <w:rsid w:val="004F5A34"/>
    <w:rsid w:val="00501EBF"/>
    <w:rsid w:val="00537AE8"/>
    <w:rsid w:val="0055326F"/>
    <w:rsid w:val="005D706A"/>
    <w:rsid w:val="005E1040"/>
    <w:rsid w:val="005F2B68"/>
    <w:rsid w:val="00620E3C"/>
    <w:rsid w:val="00621A20"/>
    <w:rsid w:val="006236C5"/>
    <w:rsid w:val="00630407"/>
    <w:rsid w:val="00671548"/>
    <w:rsid w:val="00673760"/>
    <w:rsid w:val="006A6B9E"/>
    <w:rsid w:val="006D32B2"/>
    <w:rsid w:val="006F2C65"/>
    <w:rsid w:val="007075E5"/>
    <w:rsid w:val="00792654"/>
    <w:rsid w:val="007D6CE0"/>
    <w:rsid w:val="0080167D"/>
    <w:rsid w:val="0081358E"/>
    <w:rsid w:val="008225D3"/>
    <w:rsid w:val="00825EF9"/>
    <w:rsid w:val="00832873"/>
    <w:rsid w:val="00835A63"/>
    <w:rsid w:val="00840A7C"/>
    <w:rsid w:val="0088471C"/>
    <w:rsid w:val="008A581D"/>
    <w:rsid w:val="008B10E7"/>
    <w:rsid w:val="008C7677"/>
    <w:rsid w:val="008D675A"/>
    <w:rsid w:val="008F764E"/>
    <w:rsid w:val="0091283F"/>
    <w:rsid w:val="00944B15"/>
    <w:rsid w:val="00982BE5"/>
    <w:rsid w:val="00984A8E"/>
    <w:rsid w:val="009A02FC"/>
    <w:rsid w:val="009A67C0"/>
    <w:rsid w:val="00A10658"/>
    <w:rsid w:val="00A279D4"/>
    <w:rsid w:val="00A548CD"/>
    <w:rsid w:val="00A74F28"/>
    <w:rsid w:val="00AB23B6"/>
    <w:rsid w:val="00AF6626"/>
    <w:rsid w:val="00AF6C60"/>
    <w:rsid w:val="00B15ADC"/>
    <w:rsid w:val="00B3170C"/>
    <w:rsid w:val="00B56B96"/>
    <w:rsid w:val="00B95073"/>
    <w:rsid w:val="00B95F1F"/>
    <w:rsid w:val="00BB3799"/>
    <w:rsid w:val="00BC493C"/>
    <w:rsid w:val="00BD16D7"/>
    <w:rsid w:val="00BE1EA4"/>
    <w:rsid w:val="00BF09ED"/>
    <w:rsid w:val="00C2483B"/>
    <w:rsid w:val="00C31729"/>
    <w:rsid w:val="00C37F13"/>
    <w:rsid w:val="00C52E43"/>
    <w:rsid w:val="00C57863"/>
    <w:rsid w:val="00C57F7D"/>
    <w:rsid w:val="00C6001E"/>
    <w:rsid w:val="00CC2A83"/>
    <w:rsid w:val="00D0282B"/>
    <w:rsid w:val="00D10089"/>
    <w:rsid w:val="00D14525"/>
    <w:rsid w:val="00D21B63"/>
    <w:rsid w:val="00D23F60"/>
    <w:rsid w:val="00D353E4"/>
    <w:rsid w:val="00D44968"/>
    <w:rsid w:val="00D517C1"/>
    <w:rsid w:val="00D62EF8"/>
    <w:rsid w:val="00DB2C75"/>
    <w:rsid w:val="00DB653B"/>
    <w:rsid w:val="00E234FE"/>
    <w:rsid w:val="00E51244"/>
    <w:rsid w:val="00E64D70"/>
    <w:rsid w:val="00E911D2"/>
    <w:rsid w:val="00E95E7F"/>
    <w:rsid w:val="00EB64F9"/>
    <w:rsid w:val="00F1338F"/>
    <w:rsid w:val="00F206F4"/>
    <w:rsid w:val="00F308AB"/>
    <w:rsid w:val="00F82597"/>
    <w:rsid w:val="00F869BB"/>
    <w:rsid w:val="00FC6FA8"/>
    <w:rsid w:val="00FD5864"/>
    <w:rsid w:val="09445268"/>
    <w:rsid w:val="0FFAFF47"/>
    <w:rsid w:val="3292DCAC"/>
    <w:rsid w:val="34B97F3D"/>
    <w:rsid w:val="43F6FFCB"/>
    <w:rsid w:val="7EB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0220"/>
  <w15:docId w15:val="{79BD7721-8733-43E7-867C-5E2E7B4A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Textbody"/>
    <w:uiPriority w:val="9"/>
    <w:semiHidden/>
    <w:unhideWhenUsed/>
    <w:qFormat/>
    <w:pPr>
      <w:suppressAutoHyphens w:val="0"/>
      <w:spacing w:before="100" w:after="1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1"/>
    <w:uiPriority w:val="9"/>
    <w:semiHidden/>
    <w:unhideWhenUsed/>
    <w:qFormat/>
    <w:rsid w:val="00424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4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Nadpis21">
    <w:name w:val="Nadpis 21"/>
    <w:basedOn w:val="Standar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Nadpis31">
    <w:name w:val="Nadpis 31"/>
    <w:basedOn w:val="Standar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ormlnweb">
    <w:name w:val="Normal (Web)"/>
    <w:basedOn w:val="Standard"/>
    <w:uiPriority w:val="99"/>
    <w:pPr>
      <w:spacing w:before="100" w:after="100"/>
    </w:pPr>
    <w:rPr>
      <w:rFonts w:ascii="Times New Roman" w:hAnsi="Times New Roman"/>
    </w:rPr>
  </w:style>
  <w:style w:type="paragraph" w:customStyle="1" w:styleId="TextA">
    <w:name w:val="Text A"/>
    <w:pPr>
      <w:widowControl/>
      <w:suppressAutoHyphens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Textbubliny">
    <w:name w:val="Balloon Text"/>
    <w:basedOn w:val="Standard"/>
    <w:rPr>
      <w:rFonts w:cs="Arial"/>
      <w:sz w:val="18"/>
      <w:szCs w:val="18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Odstavecseseznamem">
    <w:name w:val="List Paragraph"/>
    <w:basedOn w:val="Standar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pPr>
      <w:widowControl/>
      <w:suppressAutoHyphens/>
    </w:pPr>
    <w:rPr>
      <w:rFonts w:ascii="Arial" w:hAnsi="Arial"/>
      <w:sz w:val="24"/>
      <w:szCs w:val="24"/>
    </w:rPr>
  </w:style>
  <w:style w:type="paragraph" w:customStyle="1" w:styleId="Odstavecseseznamem1">
    <w:name w:val="Odstavec se seznamem1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b30">
    <w:name w:val="mb30"/>
    <w:basedOn w:val="Standard"/>
    <w:pPr>
      <w:spacing w:before="100" w:after="100"/>
    </w:pPr>
    <w:rPr>
      <w:rFonts w:ascii="Times New Roman" w:hAnsi="Times New Roman"/>
    </w:rPr>
  </w:style>
  <w:style w:type="paragraph" w:customStyle="1" w:styleId="nospacing1">
    <w:name w:val="nospacing1"/>
    <w:basedOn w:val="Standard"/>
    <w:pPr>
      <w:spacing w:before="100" w:after="100"/>
    </w:pPr>
    <w:rPr>
      <w:rFonts w:ascii="Times New Roman" w:hAnsi="Times New Roman"/>
    </w:rPr>
  </w:style>
  <w:style w:type="paragraph" w:styleId="Textpoznpodarou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paragraph">
    <w:name w:val="paragraph"/>
    <w:basedOn w:val="Standard"/>
    <w:pPr>
      <w:suppressAutoHyphens w:val="0"/>
      <w:spacing w:before="100" w:after="10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TextbublinyChar">
    <w:name w:val="Text bubliny Char"/>
    <w:rPr>
      <w:rFonts w:ascii="Arial" w:hAnsi="Arial" w:cs="Arial"/>
      <w:sz w:val="18"/>
      <w:szCs w:val="18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Arial" w:hAnsi="Arial"/>
    </w:rPr>
  </w:style>
  <w:style w:type="character" w:customStyle="1" w:styleId="PedmtkomenteChar">
    <w:name w:val="Předmět komentáře Char"/>
    <w:rPr>
      <w:rFonts w:ascii="Arial" w:hAnsi="Arial"/>
      <w:b/>
      <w:bCs/>
    </w:rPr>
  </w:style>
  <w:style w:type="character" w:customStyle="1" w:styleId="Nadpis2Char">
    <w:name w:val="Nadpis 2 Char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apple-converted-space">
    <w:name w:val="apple-converted-space"/>
  </w:style>
  <w:style w:type="character" w:customStyle="1" w:styleId="hps">
    <w:name w:val="hps"/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Zdraznn">
    <w:name w:val="Emphasis"/>
    <w:rPr>
      <w:i/>
      <w:iCs/>
    </w:rPr>
  </w:style>
  <w:style w:type="character" w:customStyle="1" w:styleId="a10">
    <w:name w:val="a10"/>
    <w:rPr>
      <w:rFonts w:cs="Times New Roman"/>
    </w:rPr>
  </w:style>
  <w:style w:type="character" w:customStyle="1" w:styleId="TextpoznpodarouChar">
    <w:name w:val="Text pozn. pod čarou Char"/>
    <w:basedOn w:val="Standardnpsmoodstavce"/>
    <w:rPr>
      <w:rFonts w:ascii="Arial" w:hAnsi="Arial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highlightnode">
    <w:name w:val="highlightnode"/>
    <w:basedOn w:val="Standardnpsmoodstavce"/>
  </w:style>
  <w:style w:type="character" w:customStyle="1" w:styleId="normaltextrun">
    <w:name w:val="normaltextrun"/>
    <w:basedOn w:val="Standardnpsmoodstavce"/>
  </w:style>
  <w:style w:type="character" w:customStyle="1" w:styleId="Nevyeenzmnka1">
    <w:name w:val="Nevyřešená zmínka1"/>
    <w:basedOn w:val="Standardnpsmoodstavce"/>
    <w:rPr>
      <w:color w:val="605E5C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/>
    </w:rPr>
  </w:style>
  <w:style w:type="character" w:customStyle="1" w:styleId="ListLabel4">
    <w:name w:val="ListLabel 4"/>
    <w:rPr>
      <w:rFonts w:eastAsia="Calibri" w:cs="Aria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Calibri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Nevyeenzmnka2">
    <w:name w:val="Nevyřešená zmínka2"/>
    <w:basedOn w:val="Standardnpsmoodstavce"/>
    <w:rPr>
      <w:color w:val="605E5C"/>
    </w:rPr>
  </w:style>
  <w:style w:type="character" w:customStyle="1" w:styleId="Nadpis2Char1">
    <w:name w:val="Nadpis 2 Char1"/>
    <w:basedOn w:val="Standardnpsmoodstavce"/>
    <w:rPr>
      <w:rFonts w:ascii="Cambria" w:hAnsi="Cambria"/>
      <w:color w:val="365F91"/>
      <w:sz w:val="26"/>
      <w:szCs w:val="2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/>
    </w:rPr>
  </w:style>
  <w:style w:type="character" w:customStyle="1" w:styleId="ListLabel12">
    <w:name w:val="ListLabel 12"/>
    <w:rPr>
      <w:rFonts w:eastAsia="Calibri" w:cs="Arial"/>
    </w:rPr>
  </w:style>
  <w:style w:type="character" w:customStyle="1" w:styleId="FootnoteSymbol">
    <w:name w:val="Footnote Symbol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character" w:styleId="Hypertextovodkaz">
    <w:name w:val="Hyperlink"/>
    <w:basedOn w:val="Standardnpsmoodstavce"/>
    <w:uiPriority w:val="99"/>
    <w:unhideWhenUsed/>
    <w:rsid w:val="00411A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1ACC"/>
    <w:rPr>
      <w:color w:val="605E5C"/>
      <w:shd w:val="clear" w:color="auto" w:fill="E1DFDD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4243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43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iln">
    <w:name w:val="Strong"/>
    <w:basedOn w:val="Standardnpsmoodstavce"/>
    <w:uiPriority w:val="22"/>
    <w:qFormat/>
    <w:rsid w:val="00424357"/>
    <w:rPr>
      <w:b/>
      <w:bCs/>
    </w:rPr>
  </w:style>
  <w:style w:type="character" w:customStyle="1" w:styleId="acronym">
    <w:name w:val="acronym"/>
    <w:basedOn w:val="Standardnpsmoodstavce"/>
    <w:rsid w:val="0042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650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33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046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4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2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99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26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CEFF1"/>
                                <w:right w:val="none" w:sz="0" w:space="0" w:color="auto"/>
                              </w:divBdr>
                              <w:divsChild>
                                <w:div w:id="17352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898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e.cimplova@crestco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ela.kukanova@crestcom.cz" TargetMode="External"/><Relationship Id="rId17" Type="http://schemas.openxmlformats.org/officeDocument/2006/relationships/hyperlink" Target="http://www.jrdgrou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rd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rdgroup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yklova@jrd.cz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restcom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%20https:/www.hypotecnibanka.cz/o-bance/pro-media/hb-index/hb-index-zdrazovani-rezidencnich-nemovit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B957-2C4D-45FA-8320-5C23CD38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966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Marie Cimplová</cp:lastModifiedBy>
  <cp:revision>32</cp:revision>
  <cp:lastPrinted>2021-06-09T12:46:00Z</cp:lastPrinted>
  <dcterms:created xsi:type="dcterms:W3CDTF">2021-03-03T14:03:00Z</dcterms:created>
  <dcterms:modified xsi:type="dcterms:W3CDTF">2021-07-27T09:52:00Z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